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AD2" w:rsidRPr="00BB6A98" w:rsidRDefault="00BB6A98" w:rsidP="00BB6A98">
      <w:pPr>
        <w:ind w:left="6237"/>
        <w:rPr>
          <w:rFonts w:ascii="Times New Roman" w:hAnsi="Times New Roman" w:cs="Times New Roman"/>
          <w:sz w:val="24"/>
          <w:szCs w:val="24"/>
        </w:rPr>
      </w:pPr>
      <w:r>
        <w:rPr>
          <w:rFonts w:ascii="Times New Roman" w:hAnsi="Times New Roman" w:cs="Times New Roman"/>
          <w:sz w:val="24"/>
          <w:szCs w:val="24"/>
        </w:rPr>
        <w:t>11. Oktober 2012</w:t>
      </w:r>
    </w:p>
    <w:p w:rsidR="00192512" w:rsidRDefault="00192512" w:rsidP="003F4616">
      <w:pPr>
        <w:autoSpaceDE w:val="0"/>
        <w:autoSpaceDN w:val="0"/>
        <w:adjustRightInd w:val="0"/>
        <w:spacing w:after="0" w:line="240" w:lineRule="auto"/>
        <w:rPr>
          <w:rFonts w:ascii="Times New Roman" w:hAnsi="Times New Roman" w:cs="Times New Roman"/>
          <w:b/>
          <w:bCs/>
          <w:color w:val="002060"/>
          <w:sz w:val="24"/>
          <w:szCs w:val="24"/>
        </w:rPr>
      </w:pPr>
    </w:p>
    <w:p w:rsidR="00192512" w:rsidRDefault="00192512" w:rsidP="003F4616">
      <w:pPr>
        <w:autoSpaceDE w:val="0"/>
        <w:autoSpaceDN w:val="0"/>
        <w:adjustRightInd w:val="0"/>
        <w:spacing w:after="0" w:line="240" w:lineRule="auto"/>
        <w:rPr>
          <w:rFonts w:ascii="Times New Roman" w:hAnsi="Times New Roman" w:cs="Times New Roman"/>
          <w:b/>
          <w:bCs/>
          <w:color w:val="002060"/>
          <w:sz w:val="24"/>
          <w:szCs w:val="24"/>
        </w:rPr>
      </w:pPr>
    </w:p>
    <w:p w:rsidR="00192512" w:rsidRDefault="00192512" w:rsidP="003F4616">
      <w:pPr>
        <w:autoSpaceDE w:val="0"/>
        <w:autoSpaceDN w:val="0"/>
        <w:adjustRightInd w:val="0"/>
        <w:spacing w:after="0" w:line="240" w:lineRule="auto"/>
        <w:rPr>
          <w:rFonts w:ascii="Times New Roman" w:hAnsi="Times New Roman" w:cs="Times New Roman"/>
          <w:b/>
          <w:bCs/>
          <w:color w:val="002060"/>
          <w:sz w:val="24"/>
          <w:szCs w:val="24"/>
        </w:rPr>
      </w:pPr>
    </w:p>
    <w:p w:rsidR="003F4616" w:rsidRPr="00BB6A98" w:rsidRDefault="00192512" w:rsidP="003F4616">
      <w:pPr>
        <w:autoSpaceDE w:val="0"/>
        <w:autoSpaceDN w:val="0"/>
        <w:adjustRightInd w:val="0"/>
        <w:spacing w:after="0" w:line="240" w:lineRule="auto"/>
        <w:rPr>
          <w:rFonts w:ascii="Times New Roman" w:hAnsi="Times New Roman" w:cs="Times New Roman"/>
          <w:b/>
          <w:bCs/>
          <w:color w:val="002060"/>
          <w:sz w:val="24"/>
          <w:szCs w:val="24"/>
        </w:rPr>
      </w:pPr>
      <w:r>
        <w:rPr>
          <w:rFonts w:ascii="Times New Roman" w:hAnsi="Times New Roman" w:cs="Times New Roman"/>
          <w:b/>
          <w:bCs/>
          <w:color w:val="002060"/>
          <w:sz w:val="24"/>
          <w:szCs w:val="24"/>
        </w:rPr>
        <w:t>Vorschlag einer EU-</w:t>
      </w:r>
      <w:r w:rsidR="003F4616" w:rsidRPr="00BB6A98">
        <w:rPr>
          <w:rFonts w:ascii="Times New Roman" w:hAnsi="Times New Roman" w:cs="Times New Roman"/>
          <w:b/>
          <w:bCs/>
          <w:color w:val="002060"/>
          <w:sz w:val="24"/>
          <w:szCs w:val="24"/>
        </w:rPr>
        <w:t>DATENSCHUTZ-GRUNDVERORDNUNG:</w:t>
      </w:r>
    </w:p>
    <w:p w:rsidR="003F4616" w:rsidRPr="00192512" w:rsidRDefault="00BB6A98" w:rsidP="003F4616">
      <w:pPr>
        <w:autoSpaceDE w:val="0"/>
        <w:autoSpaceDN w:val="0"/>
        <w:adjustRightInd w:val="0"/>
        <w:spacing w:after="0" w:line="240" w:lineRule="auto"/>
        <w:rPr>
          <w:rFonts w:ascii="Times New Roman" w:hAnsi="Times New Roman" w:cs="Times New Roman"/>
          <w:bCs/>
          <w:color w:val="002060"/>
          <w:sz w:val="24"/>
          <w:szCs w:val="24"/>
        </w:rPr>
      </w:pPr>
      <w:r w:rsidRPr="00192512">
        <w:rPr>
          <w:rFonts w:ascii="Times New Roman" w:hAnsi="Times New Roman" w:cs="Times New Roman"/>
          <w:bCs/>
          <w:color w:val="002060"/>
          <w:sz w:val="24"/>
          <w:szCs w:val="24"/>
        </w:rPr>
        <w:t xml:space="preserve">Hier: </w:t>
      </w:r>
      <w:r w:rsidR="00192512">
        <w:rPr>
          <w:rFonts w:ascii="Times New Roman" w:hAnsi="Times New Roman" w:cs="Times New Roman"/>
          <w:bCs/>
          <w:color w:val="002060"/>
          <w:sz w:val="24"/>
          <w:szCs w:val="24"/>
        </w:rPr>
        <w:tab/>
      </w:r>
      <w:r w:rsidRPr="00192512">
        <w:rPr>
          <w:rFonts w:ascii="Times New Roman" w:hAnsi="Times New Roman" w:cs="Times New Roman"/>
          <w:bCs/>
          <w:color w:val="002060"/>
          <w:sz w:val="24"/>
          <w:szCs w:val="24"/>
        </w:rPr>
        <w:t xml:space="preserve">Bewertung der vorgesehenen </w:t>
      </w:r>
      <w:r w:rsidR="003F4616" w:rsidRPr="00192512">
        <w:rPr>
          <w:rFonts w:ascii="Times New Roman" w:hAnsi="Times New Roman" w:cs="Times New Roman"/>
          <w:bCs/>
          <w:color w:val="002060"/>
          <w:sz w:val="24"/>
          <w:szCs w:val="24"/>
        </w:rPr>
        <w:t>RECHTSETZUNGSBEFUGNISSE</w:t>
      </w:r>
      <w:r w:rsidR="00192512" w:rsidRPr="00192512">
        <w:rPr>
          <w:rFonts w:ascii="Times New Roman" w:hAnsi="Times New Roman" w:cs="Times New Roman"/>
          <w:bCs/>
          <w:color w:val="002060"/>
          <w:sz w:val="24"/>
          <w:szCs w:val="24"/>
        </w:rPr>
        <w:br/>
        <w:t xml:space="preserve">         </w:t>
      </w:r>
      <w:r w:rsidR="003F4616" w:rsidRPr="00192512">
        <w:rPr>
          <w:rFonts w:ascii="Times New Roman" w:hAnsi="Times New Roman" w:cs="Times New Roman"/>
          <w:bCs/>
          <w:color w:val="002060"/>
          <w:sz w:val="24"/>
          <w:szCs w:val="24"/>
        </w:rPr>
        <w:t xml:space="preserve"> </w:t>
      </w:r>
      <w:r w:rsidR="00192512">
        <w:rPr>
          <w:rFonts w:ascii="Times New Roman" w:hAnsi="Times New Roman" w:cs="Times New Roman"/>
          <w:bCs/>
          <w:color w:val="002060"/>
          <w:sz w:val="24"/>
          <w:szCs w:val="24"/>
        </w:rPr>
        <w:tab/>
      </w:r>
      <w:r w:rsidR="003F4616" w:rsidRPr="00192512">
        <w:rPr>
          <w:rFonts w:ascii="Times New Roman" w:hAnsi="Times New Roman" w:cs="Times New Roman"/>
          <w:bCs/>
          <w:color w:val="002060"/>
          <w:sz w:val="24"/>
          <w:szCs w:val="24"/>
        </w:rPr>
        <w:t>DER KOMMISSION</w:t>
      </w:r>
    </w:p>
    <w:p w:rsidR="003F4616" w:rsidRPr="00BB6A98" w:rsidRDefault="003F4616" w:rsidP="003F4616">
      <w:pPr>
        <w:autoSpaceDE w:val="0"/>
        <w:autoSpaceDN w:val="0"/>
        <w:adjustRightInd w:val="0"/>
        <w:spacing w:after="0" w:line="240" w:lineRule="auto"/>
        <w:rPr>
          <w:rFonts w:ascii="Times New Roman" w:hAnsi="Times New Roman" w:cs="Times New Roman"/>
          <w:b/>
          <w:bCs/>
          <w:color w:val="002060"/>
          <w:sz w:val="24"/>
          <w:szCs w:val="24"/>
        </w:rPr>
      </w:pPr>
    </w:p>
    <w:p w:rsidR="003F4616" w:rsidRDefault="003F4616" w:rsidP="003F4616">
      <w:pPr>
        <w:autoSpaceDE w:val="0"/>
        <w:autoSpaceDN w:val="0"/>
        <w:adjustRightInd w:val="0"/>
        <w:spacing w:after="0" w:line="240" w:lineRule="auto"/>
        <w:rPr>
          <w:rFonts w:ascii="Times New Roman" w:hAnsi="Times New Roman" w:cs="Times New Roman"/>
          <w:b/>
          <w:bCs/>
          <w:color w:val="002060"/>
          <w:sz w:val="24"/>
          <w:szCs w:val="24"/>
        </w:rPr>
      </w:pPr>
    </w:p>
    <w:p w:rsidR="00192512" w:rsidRPr="00BB6A98" w:rsidRDefault="00192512" w:rsidP="003F4616">
      <w:pPr>
        <w:autoSpaceDE w:val="0"/>
        <w:autoSpaceDN w:val="0"/>
        <w:adjustRightInd w:val="0"/>
        <w:spacing w:after="0" w:line="240" w:lineRule="auto"/>
        <w:rPr>
          <w:rFonts w:ascii="Times New Roman" w:hAnsi="Times New Roman" w:cs="Times New Roman"/>
          <w:b/>
          <w:bCs/>
          <w:color w:val="002060"/>
          <w:sz w:val="24"/>
          <w:szCs w:val="24"/>
        </w:rPr>
      </w:pPr>
    </w:p>
    <w:p w:rsidR="003F4616" w:rsidRPr="00BB6A98" w:rsidRDefault="003F4616" w:rsidP="00E1073A">
      <w:pPr>
        <w:pStyle w:val="Listenabsatz"/>
        <w:numPr>
          <w:ilvl w:val="0"/>
          <w:numId w:val="1"/>
        </w:numPr>
        <w:ind w:left="567" w:hanging="567"/>
        <w:rPr>
          <w:rFonts w:ascii="Times New Roman" w:hAnsi="Times New Roman" w:cs="Times New Roman"/>
          <w:b/>
          <w:bCs/>
          <w:color w:val="000000"/>
          <w:sz w:val="24"/>
          <w:szCs w:val="24"/>
        </w:rPr>
      </w:pPr>
      <w:r w:rsidRPr="00BB6A98">
        <w:rPr>
          <w:rFonts w:ascii="Times New Roman" w:hAnsi="Times New Roman" w:cs="Times New Roman"/>
          <w:b/>
          <w:bCs/>
          <w:color w:val="000000"/>
          <w:sz w:val="24"/>
          <w:szCs w:val="24"/>
        </w:rPr>
        <w:t>Delegierte Rechtsakte</w:t>
      </w:r>
    </w:p>
    <w:p w:rsidR="003F4616" w:rsidRPr="00BB6A98" w:rsidRDefault="003F4616" w:rsidP="003F4616">
      <w:pPr>
        <w:autoSpaceDE w:val="0"/>
        <w:autoSpaceDN w:val="0"/>
        <w:adjustRightInd w:val="0"/>
        <w:spacing w:after="0" w:line="240" w:lineRule="auto"/>
        <w:rPr>
          <w:rFonts w:ascii="Times New Roman" w:hAnsi="Times New Roman" w:cs="Times New Roman"/>
          <w:color w:val="000000"/>
          <w:sz w:val="24"/>
          <w:szCs w:val="24"/>
        </w:rPr>
      </w:pPr>
      <w:r w:rsidRPr="00BB6A98">
        <w:rPr>
          <w:rFonts w:ascii="Times New Roman" w:hAnsi="Times New Roman" w:cs="Times New Roman"/>
          <w:color w:val="000000"/>
          <w:sz w:val="24"/>
          <w:szCs w:val="24"/>
        </w:rPr>
        <w:t>Mit delegierten Rechtsakten (Art. 290 AEUV) darf die Kommission nicht-wesentliche Aspekte eines Gesetzgebungsvorhabens selbst regeln. Sinn und Zweck des de</w:t>
      </w:r>
      <w:r w:rsidR="00E1073A" w:rsidRPr="00BB6A98">
        <w:rPr>
          <w:rFonts w:ascii="Times New Roman" w:hAnsi="Times New Roman" w:cs="Times New Roman"/>
          <w:color w:val="000000"/>
          <w:sz w:val="24"/>
          <w:szCs w:val="24"/>
        </w:rPr>
        <w:t>le</w:t>
      </w:r>
      <w:r w:rsidRPr="00BB6A98">
        <w:rPr>
          <w:rFonts w:ascii="Times New Roman" w:hAnsi="Times New Roman" w:cs="Times New Roman"/>
          <w:color w:val="000000"/>
          <w:sz w:val="24"/>
          <w:szCs w:val="24"/>
        </w:rPr>
        <w:t>gierten Rechtsaktes ist es eine technische Ergänzung oder Konkretisierung der vom europäischen Gesetzgeber politisch getroffenen Grundentscheidungen vorzunehmen. Im deutschen Recht entspricht dem in etwa die Rechtsetzung durch Verordnungsermächtigung per Gesetz und Rechtsverordnungen.</w:t>
      </w:r>
    </w:p>
    <w:p w:rsidR="003F4616" w:rsidRPr="00BB6A98" w:rsidRDefault="003F4616" w:rsidP="003F4616">
      <w:pPr>
        <w:autoSpaceDE w:val="0"/>
        <w:autoSpaceDN w:val="0"/>
        <w:adjustRightInd w:val="0"/>
        <w:spacing w:after="0" w:line="240" w:lineRule="auto"/>
        <w:rPr>
          <w:rFonts w:ascii="Times New Roman" w:hAnsi="Times New Roman" w:cs="Times New Roman"/>
          <w:color w:val="000000"/>
          <w:sz w:val="24"/>
          <w:szCs w:val="24"/>
        </w:rPr>
      </w:pPr>
    </w:p>
    <w:tbl>
      <w:tblPr>
        <w:tblStyle w:val="Tabellenraster"/>
        <w:tblW w:w="0" w:type="auto"/>
        <w:tblLook w:val="04A0" w:firstRow="1" w:lastRow="0" w:firstColumn="1" w:lastColumn="0" w:noHBand="0" w:noVBand="1"/>
      </w:tblPr>
      <w:tblGrid>
        <w:gridCol w:w="3510"/>
        <w:gridCol w:w="5778"/>
      </w:tblGrid>
      <w:tr w:rsidR="003F4616" w:rsidRPr="00BB6A98" w:rsidTr="00BB6A98">
        <w:trPr>
          <w:tblHeader/>
        </w:trPr>
        <w:tc>
          <w:tcPr>
            <w:tcW w:w="3510" w:type="dxa"/>
            <w:shd w:val="clear" w:color="auto" w:fill="F2F2F2" w:themeFill="background1" w:themeFillShade="F2"/>
          </w:tcPr>
          <w:p w:rsidR="00BB6A98" w:rsidRDefault="00BB6A98" w:rsidP="00BB6A98">
            <w:pPr>
              <w:autoSpaceDE w:val="0"/>
              <w:autoSpaceDN w:val="0"/>
              <w:adjustRightInd w:val="0"/>
              <w:jc w:val="center"/>
              <w:rPr>
                <w:rFonts w:ascii="Times New Roman" w:hAnsi="Times New Roman" w:cs="Times New Roman"/>
                <w:b/>
                <w:sz w:val="24"/>
                <w:szCs w:val="24"/>
              </w:rPr>
            </w:pPr>
          </w:p>
          <w:p w:rsidR="003F4616" w:rsidRDefault="003F4616" w:rsidP="00BB6A98">
            <w:pPr>
              <w:autoSpaceDE w:val="0"/>
              <w:autoSpaceDN w:val="0"/>
              <w:adjustRightInd w:val="0"/>
              <w:jc w:val="center"/>
              <w:rPr>
                <w:rFonts w:ascii="Times New Roman" w:hAnsi="Times New Roman" w:cs="Times New Roman"/>
                <w:b/>
                <w:sz w:val="24"/>
                <w:szCs w:val="24"/>
              </w:rPr>
            </w:pPr>
            <w:r w:rsidRPr="00BB6A98">
              <w:rPr>
                <w:rFonts w:ascii="Times New Roman" w:hAnsi="Times New Roman" w:cs="Times New Roman"/>
                <w:b/>
                <w:sz w:val="24"/>
                <w:szCs w:val="24"/>
              </w:rPr>
              <w:t>Delegierter Rechtsakt</w:t>
            </w:r>
          </w:p>
          <w:p w:rsidR="00BB6A98" w:rsidRPr="00BB6A98" w:rsidRDefault="00BB6A98" w:rsidP="00BB6A98">
            <w:pPr>
              <w:autoSpaceDE w:val="0"/>
              <w:autoSpaceDN w:val="0"/>
              <w:adjustRightInd w:val="0"/>
              <w:jc w:val="center"/>
              <w:rPr>
                <w:rFonts w:ascii="Times New Roman" w:hAnsi="Times New Roman" w:cs="Times New Roman"/>
                <w:b/>
                <w:sz w:val="24"/>
                <w:szCs w:val="24"/>
              </w:rPr>
            </w:pPr>
          </w:p>
        </w:tc>
        <w:tc>
          <w:tcPr>
            <w:tcW w:w="5778" w:type="dxa"/>
            <w:shd w:val="clear" w:color="auto" w:fill="F2F2F2" w:themeFill="background1" w:themeFillShade="F2"/>
          </w:tcPr>
          <w:p w:rsidR="00BB6A98" w:rsidRDefault="00BB6A98" w:rsidP="00BB6A98">
            <w:pPr>
              <w:autoSpaceDE w:val="0"/>
              <w:autoSpaceDN w:val="0"/>
              <w:adjustRightInd w:val="0"/>
              <w:jc w:val="center"/>
              <w:rPr>
                <w:rFonts w:ascii="Times New Roman" w:hAnsi="Times New Roman" w:cs="Times New Roman"/>
                <w:b/>
                <w:sz w:val="24"/>
                <w:szCs w:val="24"/>
              </w:rPr>
            </w:pPr>
          </w:p>
          <w:p w:rsidR="003F4616" w:rsidRPr="00BB6A98" w:rsidRDefault="003F4616" w:rsidP="00BB6A98">
            <w:pPr>
              <w:autoSpaceDE w:val="0"/>
              <w:autoSpaceDN w:val="0"/>
              <w:adjustRightInd w:val="0"/>
              <w:jc w:val="center"/>
              <w:rPr>
                <w:rFonts w:ascii="Times New Roman" w:hAnsi="Times New Roman" w:cs="Times New Roman"/>
                <w:b/>
                <w:sz w:val="24"/>
                <w:szCs w:val="24"/>
              </w:rPr>
            </w:pPr>
            <w:r w:rsidRPr="00BB6A98">
              <w:rPr>
                <w:rFonts w:ascii="Times New Roman" w:hAnsi="Times New Roman" w:cs="Times New Roman"/>
                <w:b/>
                <w:sz w:val="24"/>
                <w:szCs w:val="24"/>
              </w:rPr>
              <w:t>Bewertung</w:t>
            </w:r>
          </w:p>
        </w:tc>
      </w:tr>
      <w:tr w:rsidR="003F4616" w:rsidRPr="00BB6A98" w:rsidTr="00BB6A98">
        <w:tc>
          <w:tcPr>
            <w:tcW w:w="3510" w:type="dxa"/>
            <w:shd w:val="clear" w:color="auto" w:fill="FFCCCC"/>
          </w:tcPr>
          <w:p w:rsidR="003F4616" w:rsidRPr="00BB6A98" w:rsidRDefault="003F4616" w:rsidP="00270ABB">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6 Abs. 5 Zulässigkeit der Verarbeitung personenbezogener Daten vorbehaltlich spezieller Regelungen</w:t>
            </w:r>
          </w:p>
        </w:tc>
        <w:tc>
          <w:tcPr>
            <w:tcW w:w="5778" w:type="dxa"/>
            <w:shd w:val="clear" w:color="auto" w:fill="FFCCCC"/>
          </w:tcPr>
          <w:p w:rsidR="001F7A8E" w:rsidRPr="00BB6A98" w:rsidRDefault="001F7A8E" w:rsidP="00270ABB">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Strikte </w:t>
            </w:r>
            <w:r w:rsidR="003F4616" w:rsidRPr="00BB6A98">
              <w:rPr>
                <w:rFonts w:ascii="Times New Roman" w:hAnsi="Times New Roman" w:cs="Times New Roman"/>
                <w:sz w:val="24"/>
                <w:szCs w:val="24"/>
              </w:rPr>
              <w:t xml:space="preserve">Ablehnung. </w:t>
            </w:r>
          </w:p>
          <w:p w:rsidR="003F4616" w:rsidRPr="00BB6A98" w:rsidRDefault="00E1073A" w:rsidP="00270ABB">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Die Kodifizierung von Zulässigkeitstatbeständen sollte Rat und Parlament vorbehalten sein und nicht auf die Kommission übertragen werden. Da sich die vielfältigen Lebenssachverhalte regelmäßig nicht regulatorisch erfassen lassen, sollte die konkrete Bewertung im Einze</w:t>
            </w:r>
            <w:r w:rsidR="00017499" w:rsidRPr="00BB6A98">
              <w:rPr>
                <w:rFonts w:ascii="Times New Roman" w:hAnsi="Times New Roman" w:cs="Times New Roman"/>
                <w:sz w:val="24"/>
                <w:szCs w:val="24"/>
              </w:rPr>
              <w:t>lfall weiterhin maßgeblich sein</w:t>
            </w:r>
            <w:r w:rsidR="003F4616" w:rsidRPr="00BB6A98">
              <w:rPr>
                <w:rFonts w:ascii="Times New Roman" w:hAnsi="Times New Roman" w:cs="Times New Roman"/>
                <w:sz w:val="24"/>
                <w:szCs w:val="24"/>
              </w:rPr>
              <w:t>.</w:t>
            </w:r>
          </w:p>
        </w:tc>
      </w:tr>
      <w:tr w:rsidR="003F4616" w:rsidRPr="00BB6A98" w:rsidTr="00BB6A98">
        <w:tc>
          <w:tcPr>
            <w:tcW w:w="3510" w:type="dxa"/>
            <w:shd w:val="clear" w:color="auto" w:fill="FFCCCC"/>
          </w:tcPr>
          <w:p w:rsidR="003F4616" w:rsidRPr="00BB6A98" w:rsidRDefault="003F4616"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8 Abs. 3 Einwilligung der Erziehungsberechtigten in die Verarbeitung der Daten des Kindes</w:t>
            </w:r>
          </w:p>
        </w:tc>
        <w:tc>
          <w:tcPr>
            <w:tcW w:w="5778" w:type="dxa"/>
            <w:shd w:val="clear" w:color="auto" w:fill="FFCCCC"/>
          </w:tcPr>
          <w:p w:rsidR="001F7A8E" w:rsidRPr="00BB6A98" w:rsidRDefault="001F7A8E"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Strikte </w:t>
            </w:r>
            <w:r w:rsidR="00E1073A" w:rsidRPr="00BB6A98">
              <w:rPr>
                <w:rFonts w:ascii="Times New Roman" w:hAnsi="Times New Roman" w:cs="Times New Roman"/>
                <w:sz w:val="24"/>
                <w:szCs w:val="24"/>
              </w:rPr>
              <w:t xml:space="preserve">Ablehnung. </w:t>
            </w:r>
          </w:p>
          <w:p w:rsidR="003F4616" w:rsidRPr="00BB6A98" w:rsidRDefault="00E1073A"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Die Kodifizierung von Zulässigkeitstatbeständen sollte Rat und Parlament vorbehalten sein und nicht auf die Kommission übertragen werden. Da sich die vielfältigen Lebenssachverhalte regelmäßig nicht regulatorisch erfassen lassen, sollte die konkrete Bewertung im Einzelfall weiterhin maßgeblich sein</w:t>
            </w:r>
            <w:r w:rsidR="00017499" w:rsidRPr="00BB6A98">
              <w:rPr>
                <w:rFonts w:ascii="Times New Roman" w:hAnsi="Times New Roman" w:cs="Times New Roman"/>
                <w:sz w:val="24"/>
                <w:szCs w:val="24"/>
              </w:rPr>
              <w:t>.</w:t>
            </w:r>
          </w:p>
        </w:tc>
      </w:tr>
      <w:tr w:rsidR="003F4616" w:rsidRPr="00BB6A98" w:rsidTr="00BB6A98">
        <w:tc>
          <w:tcPr>
            <w:tcW w:w="3510" w:type="dxa"/>
            <w:shd w:val="clear" w:color="auto" w:fill="FFCCCC"/>
          </w:tcPr>
          <w:p w:rsidR="003F4616" w:rsidRPr="00BB6A98" w:rsidRDefault="003F4616"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9 Abs. 3 Zulässigkeit der Verarbeitung sog. sensibler Daten</w:t>
            </w:r>
          </w:p>
        </w:tc>
        <w:tc>
          <w:tcPr>
            <w:tcW w:w="5778" w:type="dxa"/>
            <w:shd w:val="clear" w:color="auto" w:fill="FFCCCC"/>
          </w:tcPr>
          <w:p w:rsidR="001F7A8E" w:rsidRPr="00BB6A98" w:rsidRDefault="001F7A8E"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Strikte </w:t>
            </w:r>
            <w:r w:rsidR="00E1073A" w:rsidRPr="00BB6A98">
              <w:rPr>
                <w:rFonts w:ascii="Times New Roman" w:hAnsi="Times New Roman" w:cs="Times New Roman"/>
                <w:sz w:val="24"/>
                <w:szCs w:val="24"/>
              </w:rPr>
              <w:t xml:space="preserve">Ablehnung. </w:t>
            </w:r>
          </w:p>
          <w:p w:rsidR="003F4616" w:rsidRPr="00BB6A98" w:rsidRDefault="00E1073A"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Die Kodifizierung von Zulässigkeitstatbeständen sollte Rat und Parlament vorbehalten sein und nicht auf die Kommission übertragen werden. Da sich die vielfältigen Lebenssachverhalte regelmäßig nicht regulatorisch erfassen lassen, sollte die konkrete Bewertung im Einzelfall weiterhin maßgeblich sein</w:t>
            </w:r>
          </w:p>
        </w:tc>
      </w:tr>
      <w:tr w:rsidR="003F4616" w:rsidRPr="00BB6A98" w:rsidTr="00BB6A98">
        <w:tc>
          <w:tcPr>
            <w:tcW w:w="3510" w:type="dxa"/>
            <w:shd w:val="clear" w:color="auto" w:fill="EAF1DD" w:themeFill="accent3" w:themeFillTint="33"/>
          </w:tcPr>
          <w:p w:rsidR="003F4616" w:rsidRPr="00BB6A98" w:rsidRDefault="003F4616"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12 Abs. 5 Vergütung der Verarbeiter für Bearbeitung von Anträgen der Betroffenen</w:t>
            </w:r>
          </w:p>
        </w:tc>
        <w:tc>
          <w:tcPr>
            <w:tcW w:w="5778" w:type="dxa"/>
            <w:shd w:val="clear" w:color="auto" w:fill="EAF1DD" w:themeFill="accent3" w:themeFillTint="33"/>
          </w:tcPr>
          <w:p w:rsidR="003F4616" w:rsidRPr="00BB6A98" w:rsidRDefault="001F7A8E"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Für delegierten Rechtsakt geeignet. Gleichwohl fraglich, ob es dieser Ermächtigung überhaupt bedarf.</w:t>
            </w:r>
          </w:p>
        </w:tc>
      </w:tr>
      <w:tr w:rsidR="003F4616" w:rsidRPr="00BB6A98" w:rsidTr="00BB6A98">
        <w:tc>
          <w:tcPr>
            <w:tcW w:w="3510" w:type="dxa"/>
            <w:shd w:val="clear" w:color="auto" w:fill="FFFF99"/>
          </w:tcPr>
          <w:p w:rsidR="003F4616" w:rsidRPr="00BB6A98" w:rsidRDefault="003F4616"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14 Abs. 7 Informationspflichten der Verarbeiter</w:t>
            </w:r>
          </w:p>
        </w:tc>
        <w:tc>
          <w:tcPr>
            <w:tcW w:w="5778" w:type="dxa"/>
            <w:shd w:val="clear" w:color="auto" w:fill="FFFF99"/>
          </w:tcPr>
          <w:p w:rsidR="003F4616" w:rsidRPr="00BB6A98" w:rsidRDefault="001F7A8E"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Ablehnung.</w:t>
            </w:r>
          </w:p>
          <w:p w:rsidR="001F7A8E" w:rsidRPr="00BB6A98" w:rsidRDefault="001F7A8E" w:rsidP="001F7A8E">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Die Kodifizierung von Informationspflichten sollte Rat und Parlament vorbehalten sein und nicht auf die Kommission übertragen werden.</w:t>
            </w:r>
          </w:p>
        </w:tc>
      </w:tr>
      <w:tr w:rsidR="003F4616" w:rsidRPr="00BB6A98" w:rsidTr="00BB6A98">
        <w:tc>
          <w:tcPr>
            <w:tcW w:w="3510" w:type="dxa"/>
            <w:shd w:val="clear" w:color="auto" w:fill="FFFF99"/>
          </w:tcPr>
          <w:p w:rsidR="003F4616" w:rsidRPr="00BB6A98" w:rsidRDefault="003F4616"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lastRenderedPageBreak/>
              <w:t>Art. 15 Abs. 3 Gegenstand der Auskünfte an die Betroffenen</w:t>
            </w:r>
          </w:p>
        </w:tc>
        <w:tc>
          <w:tcPr>
            <w:tcW w:w="5778" w:type="dxa"/>
            <w:shd w:val="clear" w:color="auto" w:fill="FFFF99"/>
          </w:tcPr>
          <w:p w:rsidR="00017499" w:rsidRPr="00BB6A98" w:rsidRDefault="00017499" w:rsidP="00017499">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Ablehnung.</w:t>
            </w:r>
          </w:p>
          <w:p w:rsidR="003F4616" w:rsidRPr="00BB6A98" w:rsidRDefault="00017499" w:rsidP="00017499">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Die Kodifizierung von Informationspflichten sollte Rat und Parlament vorbehalten sein und nicht auf die Kommission übertragen werden</w:t>
            </w:r>
          </w:p>
        </w:tc>
      </w:tr>
      <w:tr w:rsidR="003F4616" w:rsidRPr="00BB6A98" w:rsidTr="00BB6A98">
        <w:tc>
          <w:tcPr>
            <w:tcW w:w="3510" w:type="dxa"/>
            <w:shd w:val="clear" w:color="auto" w:fill="FFFF99"/>
          </w:tcPr>
          <w:p w:rsidR="003F4616" w:rsidRPr="00BB6A98" w:rsidRDefault="003F4616"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Art. 17 Abs. 9 Recht auf </w:t>
            </w:r>
            <w:proofErr w:type="spellStart"/>
            <w:r w:rsidRPr="00BB6A98">
              <w:rPr>
                <w:rFonts w:ascii="Times New Roman" w:hAnsi="Times New Roman" w:cs="Times New Roman"/>
                <w:sz w:val="24"/>
                <w:szCs w:val="24"/>
              </w:rPr>
              <w:t>Vergessenwerden</w:t>
            </w:r>
            <w:proofErr w:type="spellEnd"/>
            <w:r w:rsidRPr="00BB6A98">
              <w:rPr>
                <w:rFonts w:ascii="Times New Roman" w:hAnsi="Times New Roman" w:cs="Times New Roman"/>
                <w:sz w:val="24"/>
                <w:szCs w:val="24"/>
              </w:rPr>
              <w:t xml:space="preserve"> und auf Löschung</w:t>
            </w:r>
          </w:p>
        </w:tc>
        <w:tc>
          <w:tcPr>
            <w:tcW w:w="5778" w:type="dxa"/>
            <w:shd w:val="clear" w:color="auto" w:fill="FFFF99"/>
          </w:tcPr>
          <w:p w:rsidR="00017499" w:rsidRPr="00BB6A98" w:rsidRDefault="00017499" w:rsidP="00017499">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Ablehnung.</w:t>
            </w:r>
          </w:p>
          <w:p w:rsidR="003F4616" w:rsidRPr="00BB6A98" w:rsidRDefault="00017499" w:rsidP="00017499">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Der Konkretisierungsbedarf ist fraglich. Die Kodifizierung der Löschungspflichten sollte Rat und Parlament vorbehalten sein und nicht auf die Kommission übertragen werden</w:t>
            </w:r>
          </w:p>
        </w:tc>
      </w:tr>
      <w:tr w:rsidR="003F4616" w:rsidRPr="00BB6A98" w:rsidTr="00BB6A98">
        <w:tc>
          <w:tcPr>
            <w:tcW w:w="3510" w:type="dxa"/>
            <w:shd w:val="clear" w:color="auto" w:fill="FFCCCC"/>
          </w:tcPr>
          <w:p w:rsidR="003F4616" w:rsidRPr="00BB6A98" w:rsidRDefault="003F4616"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Art. 20 Abs. 5 Zulässigkeit der Erstellung von Nutzerprofilen (sog. </w:t>
            </w:r>
            <w:proofErr w:type="spellStart"/>
            <w:r w:rsidRPr="00BB6A98">
              <w:rPr>
                <w:rFonts w:ascii="Times New Roman" w:hAnsi="Times New Roman" w:cs="Times New Roman"/>
                <w:sz w:val="24"/>
                <w:szCs w:val="24"/>
              </w:rPr>
              <w:t>Profiling</w:t>
            </w:r>
            <w:proofErr w:type="spellEnd"/>
            <w:r w:rsidRPr="00BB6A98">
              <w:rPr>
                <w:rFonts w:ascii="Times New Roman" w:hAnsi="Times New Roman" w:cs="Times New Roman"/>
                <w:sz w:val="24"/>
                <w:szCs w:val="24"/>
              </w:rPr>
              <w:t>)</w:t>
            </w:r>
          </w:p>
        </w:tc>
        <w:tc>
          <w:tcPr>
            <w:tcW w:w="5778" w:type="dxa"/>
            <w:shd w:val="clear" w:color="auto" w:fill="FFCCCC"/>
          </w:tcPr>
          <w:p w:rsidR="00017499" w:rsidRPr="00BB6A98" w:rsidRDefault="00017499" w:rsidP="00017499">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Strikte Ablehnung. </w:t>
            </w:r>
          </w:p>
          <w:p w:rsidR="003F4616" w:rsidRPr="00BB6A98" w:rsidRDefault="00017499" w:rsidP="004245D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Die Kodifizierung von Zulässigkeitstatbeständen sollte Rat und Parlament vorbehalten sein und nicht auf die Kommission übertragen werden. </w:t>
            </w:r>
          </w:p>
        </w:tc>
      </w:tr>
      <w:tr w:rsidR="003F4616" w:rsidRPr="00BB6A98" w:rsidTr="00BB6A98">
        <w:tc>
          <w:tcPr>
            <w:tcW w:w="3510" w:type="dxa"/>
            <w:shd w:val="clear" w:color="auto" w:fill="FFCCCC"/>
          </w:tcPr>
          <w:p w:rsidR="003F4616" w:rsidRPr="00BB6A98" w:rsidRDefault="003F4616"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Art. 22 Abs. 4 Monitoring der Datenverarbeitung; </w:t>
            </w:r>
            <w:proofErr w:type="spellStart"/>
            <w:r w:rsidRPr="00BB6A98">
              <w:rPr>
                <w:rFonts w:ascii="Times New Roman" w:hAnsi="Times New Roman" w:cs="Times New Roman"/>
                <w:sz w:val="24"/>
                <w:szCs w:val="24"/>
              </w:rPr>
              <w:t>Überpüfungs</w:t>
            </w:r>
            <w:proofErr w:type="spellEnd"/>
            <w:r w:rsidRPr="00BB6A98">
              <w:rPr>
                <w:rFonts w:ascii="Times New Roman" w:hAnsi="Times New Roman" w:cs="Times New Roman"/>
                <w:sz w:val="24"/>
                <w:szCs w:val="24"/>
              </w:rPr>
              <w:t>- und Auditverfahren</w:t>
            </w:r>
          </w:p>
        </w:tc>
        <w:tc>
          <w:tcPr>
            <w:tcW w:w="5778" w:type="dxa"/>
            <w:shd w:val="clear" w:color="auto" w:fill="FFCCCC"/>
          </w:tcPr>
          <w:p w:rsidR="00017499" w:rsidRPr="00BB6A98" w:rsidRDefault="00017499" w:rsidP="00017499">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Strikte Ablehnung. </w:t>
            </w:r>
          </w:p>
          <w:p w:rsidR="003F4616" w:rsidRPr="00BB6A98" w:rsidRDefault="00017499" w:rsidP="00017499">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Die Kodifizierung von Pflichten der verarbeitenden Stellen sollte Rat und Parlament vorbehalten sein und nicht auf die Kommission übertragen werden. </w:t>
            </w:r>
          </w:p>
        </w:tc>
      </w:tr>
      <w:tr w:rsidR="003F4616" w:rsidRPr="00BB6A98" w:rsidTr="00BB6A98">
        <w:tc>
          <w:tcPr>
            <w:tcW w:w="3510" w:type="dxa"/>
            <w:shd w:val="clear" w:color="auto" w:fill="FFCCCC"/>
          </w:tcPr>
          <w:p w:rsidR="003F4616" w:rsidRPr="00BB6A98" w:rsidRDefault="003F4616"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23 Abs. 3 Datenschutz durch Technik und datenschutzfreundliche Voreinstellungen</w:t>
            </w:r>
          </w:p>
        </w:tc>
        <w:tc>
          <w:tcPr>
            <w:tcW w:w="5778" w:type="dxa"/>
            <w:shd w:val="clear" w:color="auto" w:fill="FFCCCC"/>
          </w:tcPr>
          <w:p w:rsidR="00DE7C18" w:rsidRPr="00BB6A98" w:rsidRDefault="00DE7C18" w:rsidP="00DE7C18">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Strikte Ablehnung. </w:t>
            </w:r>
          </w:p>
          <w:p w:rsidR="003F4616" w:rsidRPr="00BB6A98" w:rsidRDefault="00DE7C18" w:rsidP="00DE7C18">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Die Kodifizierung von Pflichten der verarbeitenden Stellen sollte Rat und Parlament vorbehalten sein und nicht auf die Kommission übertragen werden.</w:t>
            </w:r>
          </w:p>
        </w:tc>
      </w:tr>
      <w:tr w:rsidR="003F4616" w:rsidRPr="00BB6A98" w:rsidTr="00BB6A98">
        <w:tc>
          <w:tcPr>
            <w:tcW w:w="3510" w:type="dxa"/>
            <w:shd w:val="clear" w:color="auto" w:fill="FFCCCC"/>
          </w:tcPr>
          <w:p w:rsidR="003F4616" w:rsidRPr="00BB6A98" w:rsidRDefault="003F4616"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26 Abs. 5 Anforderungen an die Auftragsverarbeiter; Datenverarbeitung in Unternehmensgruppen</w:t>
            </w:r>
          </w:p>
        </w:tc>
        <w:tc>
          <w:tcPr>
            <w:tcW w:w="5778" w:type="dxa"/>
            <w:shd w:val="clear" w:color="auto" w:fill="FFCCCC"/>
          </w:tcPr>
          <w:p w:rsidR="00DE7C18" w:rsidRPr="00BB6A98" w:rsidRDefault="00DE7C18" w:rsidP="00DE7C18">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Strikte Ablehnung. </w:t>
            </w:r>
          </w:p>
          <w:p w:rsidR="003F4616" w:rsidRPr="00BB6A98" w:rsidRDefault="00DE7C18" w:rsidP="00DE7C18">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Die Kodifizierung der Zulässigkeit der Auftragsdatenverarbeitung und von Pflichten des </w:t>
            </w:r>
            <w:proofErr w:type="spellStart"/>
            <w:r w:rsidRPr="00BB6A98">
              <w:rPr>
                <w:rFonts w:ascii="Times New Roman" w:hAnsi="Times New Roman" w:cs="Times New Roman"/>
                <w:sz w:val="24"/>
                <w:szCs w:val="24"/>
              </w:rPr>
              <w:t>Auftragverarbeiters</w:t>
            </w:r>
            <w:proofErr w:type="spellEnd"/>
            <w:r w:rsidRPr="00BB6A98">
              <w:rPr>
                <w:rFonts w:ascii="Times New Roman" w:hAnsi="Times New Roman" w:cs="Times New Roman"/>
                <w:sz w:val="24"/>
                <w:szCs w:val="24"/>
              </w:rPr>
              <w:t xml:space="preserve"> sollte Rat und Parlament vorbehalten sein und nicht auf die Kommission übertragen werden.</w:t>
            </w:r>
          </w:p>
        </w:tc>
      </w:tr>
      <w:tr w:rsidR="003F4616" w:rsidRPr="00BB6A98" w:rsidTr="00BB6A98">
        <w:tc>
          <w:tcPr>
            <w:tcW w:w="3510" w:type="dxa"/>
            <w:shd w:val="clear" w:color="auto" w:fill="FFFF99"/>
          </w:tcPr>
          <w:p w:rsidR="003F4616" w:rsidRPr="00BB6A98" w:rsidRDefault="003F4616"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28 Abs. 5 Dokumentationspflichten</w:t>
            </w:r>
          </w:p>
        </w:tc>
        <w:tc>
          <w:tcPr>
            <w:tcW w:w="5778" w:type="dxa"/>
            <w:shd w:val="clear" w:color="auto" w:fill="FFFF99"/>
          </w:tcPr>
          <w:p w:rsidR="00DE7C18" w:rsidRPr="00BB6A98" w:rsidRDefault="00DE7C18" w:rsidP="00DE7C18">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Ablehnung. </w:t>
            </w:r>
          </w:p>
          <w:p w:rsidR="003F4616" w:rsidRPr="00BB6A98" w:rsidRDefault="00DE7C18" w:rsidP="00DE7C18">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Die Kodifizierung von Pflichten der verarbeitenden Stellen sollte Rat und Parlament vorbehalten sein und nicht auf die Kommission übertragen werden.</w:t>
            </w:r>
          </w:p>
        </w:tc>
      </w:tr>
      <w:tr w:rsidR="003F4616" w:rsidRPr="00BB6A98" w:rsidTr="00BB6A98">
        <w:tc>
          <w:tcPr>
            <w:tcW w:w="3510" w:type="dxa"/>
            <w:shd w:val="clear" w:color="auto" w:fill="FFCCCC"/>
          </w:tcPr>
          <w:p w:rsidR="003F4616" w:rsidRPr="00BB6A98" w:rsidRDefault="003F4616"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30 Abs. 3 Sicherheitsstandards für die Datenverarbeitung</w:t>
            </w:r>
          </w:p>
        </w:tc>
        <w:tc>
          <w:tcPr>
            <w:tcW w:w="5778" w:type="dxa"/>
            <w:shd w:val="clear" w:color="auto" w:fill="FFCCCC"/>
          </w:tcPr>
          <w:p w:rsidR="00DE7C18" w:rsidRPr="00BB6A98" w:rsidRDefault="00DE7C18" w:rsidP="00DE7C18">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Strikte Ablehnung. </w:t>
            </w:r>
          </w:p>
          <w:p w:rsidR="003F4616" w:rsidRPr="00BB6A98" w:rsidRDefault="00DE7C18" w:rsidP="00DE7C18">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Die Kodifizierung von Pflichten der verarbeitenden Stellen sollte Rat und Parlament vorbehalten sein und nicht auf die Kommission übertragen werden.</w:t>
            </w:r>
          </w:p>
        </w:tc>
      </w:tr>
      <w:tr w:rsidR="003F4616" w:rsidRPr="00BB6A98" w:rsidTr="00BB6A98">
        <w:tc>
          <w:tcPr>
            <w:tcW w:w="3510" w:type="dxa"/>
            <w:shd w:val="clear" w:color="auto" w:fill="FFCCCC"/>
          </w:tcPr>
          <w:p w:rsidR="003F4616" w:rsidRPr="00BB6A98" w:rsidRDefault="003F4616"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31 Abs. 5 Meldepflicht gegenüber der Aufsichtsbehörde bei Datenschutzverstößen</w:t>
            </w:r>
          </w:p>
        </w:tc>
        <w:tc>
          <w:tcPr>
            <w:tcW w:w="5778" w:type="dxa"/>
            <w:shd w:val="clear" w:color="auto" w:fill="FFCCCC"/>
          </w:tcPr>
          <w:p w:rsidR="00DE7C18" w:rsidRPr="00BB6A98" w:rsidRDefault="00DE7C18" w:rsidP="00DE7C18">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Strikte Ablehnung. </w:t>
            </w:r>
          </w:p>
          <w:p w:rsidR="003F4616" w:rsidRPr="00BB6A98" w:rsidRDefault="00DE7C18" w:rsidP="00DE7C18">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Die Kodifizierung von Pflichten der verarbeitenden Stellen sollte Rat und Parlament vorbehalten sein und nicht auf die Kommission übertragen werden.</w:t>
            </w:r>
          </w:p>
        </w:tc>
      </w:tr>
      <w:tr w:rsidR="003F4616" w:rsidRPr="00BB6A98" w:rsidTr="00BB6A98">
        <w:tc>
          <w:tcPr>
            <w:tcW w:w="3510" w:type="dxa"/>
            <w:shd w:val="clear" w:color="auto" w:fill="FFCCCC"/>
          </w:tcPr>
          <w:p w:rsidR="003F4616" w:rsidRPr="00BB6A98" w:rsidRDefault="003F4616"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Art. 32 Abs. 5 </w:t>
            </w:r>
            <w:proofErr w:type="spellStart"/>
            <w:r w:rsidRPr="00BB6A98">
              <w:rPr>
                <w:rFonts w:ascii="Times New Roman" w:hAnsi="Times New Roman" w:cs="Times New Roman"/>
                <w:sz w:val="24"/>
                <w:szCs w:val="24"/>
              </w:rPr>
              <w:t>Benachrichtungspflicht</w:t>
            </w:r>
            <w:proofErr w:type="spellEnd"/>
            <w:r w:rsidRPr="00BB6A98">
              <w:rPr>
                <w:rFonts w:ascii="Times New Roman" w:hAnsi="Times New Roman" w:cs="Times New Roman"/>
                <w:sz w:val="24"/>
                <w:szCs w:val="24"/>
              </w:rPr>
              <w:t xml:space="preserve"> gegenüber den Betroffenen bei Datenschutzverstößen</w:t>
            </w:r>
          </w:p>
        </w:tc>
        <w:tc>
          <w:tcPr>
            <w:tcW w:w="5778" w:type="dxa"/>
            <w:shd w:val="clear" w:color="auto" w:fill="FFCCCC"/>
          </w:tcPr>
          <w:p w:rsidR="00C3367C" w:rsidRPr="00BB6A98" w:rsidRDefault="00C3367C" w:rsidP="00C3367C">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Strikte Ablehnung. </w:t>
            </w:r>
          </w:p>
          <w:p w:rsidR="003F4616" w:rsidRPr="00BB6A98" w:rsidRDefault="00C3367C" w:rsidP="00C3367C">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Die Kodifizierung von Pflichten der verarbeitenden Stellen sollte Rat und Parlament vorbehalten sein und nicht auf die Kommission übertragen werden.</w:t>
            </w:r>
          </w:p>
        </w:tc>
      </w:tr>
      <w:tr w:rsidR="003F4616" w:rsidRPr="00BB6A98" w:rsidTr="00BB6A98">
        <w:tc>
          <w:tcPr>
            <w:tcW w:w="3510" w:type="dxa"/>
            <w:shd w:val="clear" w:color="auto" w:fill="FFFF99"/>
          </w:tcPr>
          <w:p w:rsidR="003F4616" w:rsidRPr="00BB6A98" w:rsidRDefault="003F4616" w:rsidP="00902ADA">
            <w:pPr>
              <w:rPr>
                <w:rFonts w:ascii="Times New Roman" w:hAnsi="Times New Roman" w:cs="Times New Roman"/>
                <w:sz w:val="24"/>
                <w:szCs w:val="24"/>
              </w:rPr>
            </w:pPr>
            <w:r w:rsidRPr="00BB6A98">
              <w:rPr>
                <w:rFonts w:ascii="Times New Roman" w:hAnsi="Times New Roman" w:cs="Times New Roman"/>
                <w:sz w:val="24"/>
                <w:szCs w:val="24"/>
              </w:rPr>
              <w:t>Art. 33 Abs. 6 Erforderlichkeit und Inhalt von Datenschutz-Folgenabschätzungen</w:t>
            </w:r>
          </w:p>
        </w:tc>
        <w:tc>
          <w:tcPr>
            <w:tcW w:w="5778" w:type="dxa"/>
            <w:shd w:val="clear" w:color="auto" w:fill="FFFF99"/>
          </w:tcPr>
          <w:p w:rsidR="00C3367C" w:rsidRPr="00BB6A98" w:rsidRDefault="00C3367C" w:rsidP="00C3367C">
            <w:pPr>
              <w:rPr>
                <w:rFonts w:ascii="Times New Roman" w:hAnsi="Times New Roman" w:cs="Times New Roman"/>
                <w:sz w:val="24"/>
                <w:szCs w:val="24"/>
              </w:rPr>
            </w:pPr>
            <w:r w:rsidRPr="00BB6A98">
              <w:rPr>
                <w:rFonts w:ascii="Times New Roman" w:hAnsi="Times New Roman" w:cs="Times New Roman"/>
                <w:sz w:val="24"/>
                <w:szCs w:val="24"/>
              </w:rPr>
              <w:t xml:space="preserve">Ablehnung. </w:t>
            </w:r>
          </w:p>
          <w:p w:rsidR="003F4616" w:rsidRDefault="00C3367C" w:rsidP="00C3367C">
            <w:pPr>
              <w:rPr>
                <w:rFonts w:ascii="Times New Roman" w:hAnsi="Times New Roman" w:cs="Times New Roman"/>
                <w:sz w:val="24"/>
                <w:szCs w:val="24"/>
              </w:rPr>
            </w:pPr>
            <w:r w:rsidRPr="00BB6A98">
              <w:rPr>
                <w:rFonts w:ascii="Times New Roman" w:hAnsi="Times New Roman" w:cs="Times New Roman"/>
                <w:sz w:val="24"/>
                <w:szCs w:val="24"/>
              </w:rPr>
              <w:t>Die Kodifizierung von Pflichten der verarbeitenden Stellen sollte Rat und Parlament vorbehalten sein und nicht auf die Kommission übertragen werden.</w:t>
            </w:r>
          </w:p>
          <w:p w:rsidR="00192512" w:rsidRDefault="00192512" w:rsidP="00C3367C">
            <w:pPr>
              <w:rPr>
                <w:rFonts w:ascii="Times New Roman" w:hAnsi="Times New Roman" w:cs="Times New Roman"/>
                <w:sz w:val="24"/>
                <w:szCs w:val="24"/>
              </w:rPr>
            </w:pPr>
          </w:p>
          <w:p w:rsidR="00192512" w:rsidRPr="00BB6A98" w:rsidRDefault="00192512" w:rsidP="00C3367C">
            <w:pPr>
              <w:rPr>
                <w:rFonts w:ascii="Times New Roman" w:hAnsi="Times New Roman" w:cs="Times New Roman"/>
                <w:sz w:val="24"/>
                <w:szCs w:val="24"/>
              </w:rPr>
            </w:pPr>
          </w:p>
        </w:tc>
      </w:tr>
      <w:tr w:rsidR="003F4616" w:rsidRPr="00BB6A98" w:rsidTr="00BB6A98">
        <w:tc>
          <w:tcPr>
            <w:tcW w:w="3510" w:type="dxa"/>
            <w:shd w:val="clear" w:color="auto" w:fill="FFFF99"/>
          </w:tcPr>
          <w:p w:rsidR="003F4616" w:rsidRPr="00BB6A98" w:rsidRDefault="003F4616"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lastRenderedPageBreak/>
              <w:t>Art. 34 Abs. 8 Pflicht zur Konsultation der Aufsichtsbehörde vor der Datenverarbeitung</w:t>
            </w:r>
          </w:p>
        </w:tc>
        <w:tc>
          <w:tcPr>
            <w:tcW w:w="5778" w:type="dxa"/>
            <w:shd w:val="clear" w:color="auto" w:fill="FFFF99"/>
          </w:tcPr>
          <w:p w:rsidR="00C3367C" w:rsidRPr="00BB6A98" w:rsidRDefault="00C3367C" w:rsidP="00C3367C">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Ablehnung. </w:t>
            </w:r>
          </w:p>
          <w:p w:rsidR="003F4616" w:rsidRPr="00BB6A98" w:rsidRDefault="00C3367C" w:rsidP="00C3367C">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Die Kodifizierung von Pflichten der verarbeitenden Stellen sollte Rat und Parlament vorbehalten sein und nicht auf die Kommission übertragen werden.</w:t>
            </w:r>
          </w:p>
        </w:tc>
      </w:tr>
      <w:tr w:rsidR="00C3367C" w:rsidRPr="00BB6A98" w:rsidTr="00BB6A98">
        <w:trPr>
          <w:trHeight w:val="884"/>
        </w:trPr>
        <w:tc>
          <w:tcPr>
            <w:tcW w:w="3510" w:type="dxa"/>
            <w:shd w:val="clear" w:color="auto" w:fill="D6E3BC" w:themeFill="accent3" w:themeFillTint="66"/>
          </w:tcPr>
          <w:p w:rsidR="00C3367C" w:rsidRPr="00BB6A98" w:rsidRDefault="00C3367C"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35 Abs. 11 Berufliche Qualifikation des Datenschutzbeauftragten; Erforderlichkeit der Benennung</w:t>
            </w:r>
          </w:p>
          <w:p w:rsidR="00C3367C" w:rsidRPr="00BB6A98" w:rsidRDefault="00C3367C"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unterhalb der Schwelle von 250 Mitarbeitern</w:t>
            </w:r>
          </w:p>
        </w:tc>
        <w:tc>
          <w:tcPr>
            <w:tcW w:w="5778" w:type="dxa"/>
            <w:shd w:val="clear" w:color="auto" w:fill="D6E3BC" w:themeFill="accent3" w:themeFillTint="66"/>
          </w:tcPr>
          <w:p w:rsidR="00C3367C" w:rsidRPr="00BB6A98" w:rsidRDefault="00C3367C"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Für delegierten Rechtsakt geeignet. Gleichwohl fraglich, ob es dieser Ermächtigung überhaupt bedarf.</w:t>
            </w:r>
          </w:p>
        </w:tc>
      </w:tr>
      <w:tr w:rsidR="003F4616" w:rsidRPr="00BB6A98" w:rsidTr="00BB6A98">
        <w:tc>
          <w:tcPr>
            <w:tcW w:w="3510" w:type="dxa"/>
            <w:shd w:val="clear" w:color="auto" w:fill="D6E3BC" w:themeFill="accent3" w:themeFillTint="66"/>
          </w:tcPr>
          <w:p w:rsidR="003F4616" w:rsidRPr="00BB6A98" w:rsidRDefault="003F4616"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37 Abs. 2 Aufgaben und Befugnisse des Datenschutzbeauftragten</w:t>
            </w:r>
          </w:p>
        </w:tc>
        <w:tc>
          <w:tcPr>
            <w:tcW w:w="5778" w:type="dxa"/>
            <w:shd w:val="clear" w:color="auto" w:fill="D6E3BC" w:themeFill="accent3" w:themeFillTint="66"/>
          </w:tcPr>
          <w:p w:rsidR="003F4616" w:rsidRPr="00BB6A98" w:rsidRDefault="00C3367C"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Für delegierten Rechtsakt geeignet. Gleichwohl fraglich, ob es dieser Ermächtigung überhaupt bedarf.</w:t>
            </w:r>
          </w:p>
        </w:tc>
      </w:tr>
      <w:tr w:rsidR="003F4616" w:rsidRPr="00BB6A98" w:rsidTr="00BB6A98">
        <w:tc>
          <w:tcPr>
            <w:tcW w:w="3510" w:type="dxa"/>
            <w:shd w:val="clear" w:color="auto" w:fill="D6E3BC" w:themeFill="accent3" w:themeFillTint="66"/>
          </w:tcPr>
          <w:p w:rsidR="003F4616" w:rsidRPr="00BB6A98" w:rsidRDefault="003F4616"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39 Abs. 2 Zertifizierungsverfahren für die Datenverarbeitung</w:t>
            </w:r>
          </w:p>
        </w:tc>
        <w:tc>
          <w:tcPr>
            <w:tcW w:w="5778" w:type="dxa"/>
            <w:shd w:val="clear" w:color="auto" w:fill="D6E3BC" w:themeFill="accent3" w:themeFillTint="66"/>
          </w:tcPr>
          <w:p w:rsidR="003F4616" w:rsidRPr="00BB6A98" w:rsidRDefault="00153F44"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Für delegierten Rechtsakt geeignet. Gleichwohl fraglich, ob es dieser Ermächtigung überhaupt bedarf.</w:t>
            </w:r>
          </w:p>
        </w:tc>
      </w:tr>
      <w:tr w:rsidR="003F4616" w:rsidRPr="00BB6A98" w:rsidTr="00BB6A98">
        <w:tc>
          <w:tcPr>
            <w:tcW w:w="3510" w:type="dxa"/>
            <w:shd w:val="clear" w:color="auto" w:fill="FFCCCC"/>
          </w:tcPr>
          <w:p w:rsidR="003F4616" w:rsidRPr="00BB6A98" w:rsidRDefault="003F4616"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43 Abs. 3 Anforderungen an unternehmensinterne Vorschriften für die Datenübermittlung in Drittländer</w:t>
            </w:r>
          </w:p>
        </w:tc>
        <w:tc>
          <w:tcPr>
            <w:tcW w:w="5778" w:type="dxa"/>
            <w:shd w:val="clear" w:color="auto" w:fill="FFCCCC"/>
          </w:tcPr>
          <w:p w:rsidR="00153F44" w:rsidRPr="00BB6A98" w:rsidRDefault="00153F44" w:rsidP="00153F44">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Strikte Ablehnung. </w:t>
            </w:r>
          </w:p>
          <w:p w:rsidR="003F4616" w:rsidRPr="00BB6A98" w:rsidRDefault="00153F44" w:rsidP="00153F44">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Die Kodif</w:t>
            </w:r>
            <w:r w:rsidR="004245D7">
              <w:rPr>
                <w:rFonts w:ascii="Times New Roman" w:hAnsi="Times New Roman" w:cs="Times New Roman"/>
                <w:sz w:val="24"/>
                <w:szCs w:val="24"/>
              </w:rPr>
              <w:t>izierung von Zulässigkeitstatbe</w:t>
            </w:r>
            <w:r w:rsidRPr="00BB6A98">
              <w:rPr>
                <w:rFonts w:ascii="Times New Roman" w:hAnsi="Times New Roman" w:cs="Times New Roman"/>
                <w:sz w:val="24"/>
                <w:szCs w:val="24"/>
              </w:rPr>
              <w:t>ständen sollte Rat und Parlament vorbehalten sein und nicht auf die Kommission übertragen werden. Da sich die vielfältigen Lebenssachverhalte regelmäßig nicht regulatorisch erfassen lassen, sollte die konkrete Bewertung im Einzelfall weiterhin maßgeblich sein</w:t>
            </w:r>
          </w:p>
        </w:tc>
      </w:tr>
      <w:tr w:rsidR="003F4616" w:rsidRPr="00BB6A98" w:rsidTr="00BB6A98">
        <w:tc>
          <w:tcPr>
            <w:tcW w:w="3510" w:type="dxa"/>
            <w:shd w:val="clear" w:color="auto" w:fill="FFCCCC"/>
          </w:tcPr>
          <w:p w:rsidR="003F4616" w:rsidRPr="00BB6A98" w:rsidRDefault="003F4616"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44 Abs. 7 Anforderungen an die Übermittlung von Daten in Drittländer oder an internationale Organisationen vorbehaltlich spezieller Regelungen</w:t>
            </w:r>
          </w:p>
        </w:tc>
        <w:tc>
          <w:tcPr>
            <w:tcW w:w="5778" w:type="dxa"/>
            <w:shd w:val="clear" w:color="auto" w:fill="FFCCCC"/>
          </w:tcPr>
          <w:p w:rsidR="00006A5C" w:rsidRPr="00BB6A98" w:rsidRDefault="00006A5C" w:rsidP="00006A5C">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Strikte Ablehnung. </w:t>
            </w:r>
          </w:p>
          <w:p w:rsidR="003F4616" w:rsidRPr="00BB6A98" w:rsidRDefault="00006A5C" w:rsidP="00006A5C">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Die Kodif</w:t>
            </w:r>
            <w:r w:rsidR="004245D7">
              <w:rPr>
                <w:rFonts w:ascii="Times New Roman" w:hAnsi="Times New Roman" w:cs="Times New Roman"/>
                <w:sz w:val="24"/>
                <w:szCs w:val="24"/>
              </w:rPr>
              <w:t>izierung von Zulässigkeitstatbe</w:t>
            </w:r>
            <w:r w:rsidRPr="00BB6A98">
              <w:rPr>
                <w:rFonts w:ascii="Times New Roman" w:hAnsi="Times New Roman" w:cs="Times New Roman"/>
                <w:sz w:val="24"/>
                <w:szCs w:val="24"/>
              </w:rPr>
              <w:t>ständen sollte Rat und Parlament vorbehalten sein und nicht auf die Kommission übertragen werden.</w:t>
            </w:r>
          </w:p>
        </w:tc>
      </w:tr>
      <w:tr w:rsidR="003F4616" w:rsidRPr="00BB6A98" w:rsidTr="00BB6A98">
        <w:tc>
          <w:tcPr>
            <w:tcW w:w="3510" w:type="dxa"/>
            <w:shd w:val="clear" w:color="auto" w:fill="FFCCCC"/>
          </w:tcPr>
          <w:p w:rsidR="003F4616" w:rsidRPr="00BB6A98" w:rsidRDefault="003F4616"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79 Abs. 7 Aktualisierung der Höhe der Geldbußen</w:t>
            </w:r>
          </w:p>
        </w:tc>
        <w:tc>
          <w:tcPr>
            <w:tcW w:w="5778" w:type="dxa"/>
            <w:shd w:val="clear" w:color="auto" w:fill="FFCCCC"/>
          </w:tcPr>
          <w:p w:rsidR="00006A5C" w:rsidRPr="00BB6A98" w:rsidRDefault="00006A5C" w:rsidP="00006A5C">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Strikte Ablehnung. </w:t>
            </w:r>
          </w:p>
          <w:p w:rsidR="003F4616" w:rsidRPr="00BB6A98" w:rsidRDefault="00006A5C" w:rsidP="00006A5C">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Die Kodifizierung des Bußgeldrahmens sollte Rat und Parlament vorbehalten sein und nicht auf die Kommission übertragen werden.</w:t>
            </w:r>
          </w:p>
        </w:tc>
      </w:tr>
      <w:tr w:rsidR="003F4616" w:rsidRPr="00BB6A98" w:rsidTr="00BB6A98">
        <w:tc>
          <w:tcPr>
            <w:tcW w:w="3510" w:type="dxa"/>
            <w:shd w:val="clear" w:color="auto" w:fill="FFCCCC"/>
          </w:tcPr>
          <w:p w:rsidR="003F4616" w:rsidRPr="00BB6A98" w:rsidRDefault="003F4616"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81 Abs. 3 Zulässigkeit der Verarbeitung von Gesundheitsdaten</w:t>
            </w:r>
          </w:p>
        </w:tc>
        <w:tc>
          <w:tcPr>
            <w:tcW w:w="5778" w:type="dxa"/>
            <w:shd w:val="clear" w:color="auto" w:fill="FFCCCC"/>
          </w:tcPr>
          <w:p w:rsidR="00BB6A98" w:rsidRPr="00BB6A98" w:rsidRDefault="00BB6A98" w:rsidP="00BB6A98">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Strikte Ablehnung. </w:t>
            </w:r>
          </w:p>
          <w:p w:rsidR="003F4616" w:rsidRPr="00BB6A98" w:rsidRDefault="00BB6A98" w:rsidP="00BB6A98">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Die Kodifizi</w:t>
            </w:r>
            <w:r w:rsidR="004245D7">
              <w:rPr>
                <w:rFonts w:ascii="Times New Roman" w:hAnsi="Times New Roman" w:cs="Times New Roman"/>
                <w:sz w:val="24"/>
                <w:szCs w:val="24"/>
              </w:rPr>
              <w:t>erung von Zulässigkeitstatbe</w:t>
            </w:r>
            <w:r w:rsidRPr="00BB6A98">
              <w:rPr>
                <w:rFonts w:ascii="Times New Roman" w:hAnsi="Times New Roman" w:cs="Times New Roman"/>
                <w:sz w:val="24"/>
                <w:szCs w:val="24"/>
              </w:rPr>
              <w:t>ständen sollte Rat und Parlament vorbehalten sein und nicht auf die Kommission übertragen werden.</w:t>
            </w:r>
          </w:p>
        </w:tc>
      </w:tr>
      <w:tr w:rsidR="003F4616" w:rsidRPr="00BB6A98" w:rsidTr="00BB6A98">
        <w:tc>
          <w:tcPr>
            <w:tcW w:w="3510" w:type="dxa"/>
            <w:shd w:val="clear" w:color="auto" w:fill="FFCCCC"/>
          </w:tcPr>
          <w:p w:rsidR="003F4616" w:rsidRPr="00BB6A98" w:rsidRDefault="003F4616"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82 Abs. 3 Zulässigkeit der Verarbeitung personenbezogener Daten im Beschäftigungsverhältnis</w:t>
            </w:r>
          </w:p>
        </w:tc>
        <w:tc>
          <w:tcPr>
            <w:tcW w:w="5778" w:type="dxa"/>
            <w:shd w:val="clear" w:color="auto" w:fill="FFCCCC"/>
          </w:tcPr>
          <w:p w:rsidR="00006A5C" w:rsidRPr="00BB6A98" w:rsidRDefault="00006A5C" w:rsidP="00006A5C">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Strikte Ablehnung. </w:t>
            </w:r>
          </w:p>
          <w:p w:rsidR="003F4616" w:rsidRPr="00BB6A98" w:rsidRDefault="00006A5C" w:rsidP="00006A5C">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Die Kodifiz</w:t>
            </w:r>
            <w:r w:rsidR="004245D7">
              <w:rPr>
                <w:rFonts w:ascii="Times New Roman" w:hAnsi="Times New Roman" w:cs="Times New Roman"/>
                <w:sz w:val="24"/>
                <w:szCs w:val="24"/>
              </w:rPr>
              <w:t>ierung von Zulässigkeitstatbe</w:t>
            </w:r>
            <w:r w:rsidRPr="00BB6A98">
              <w:rPr>
                <w:rFonts w:ascii="Times New Roman" w:hAnsi="Times New Roman" w:cs="Times New Roman"/>
                <w:sz w:val="24"/>
                <w:szCs w:val="24"/>
              </w:rPr>
              <w:t>ständen sollte Rat und Parlament vorbehalten sein und nicht auf die Kommission übertragen werden.</w:t>
            </w:r>
          </w:p>
        </w:tc>
      </w:tr>
      <w:tr w:rsidR="003F4616" w:rsidRPr="00BB6A98" w:rsidTr="00BB6A98">
        <w:tc>
          <w:tcPr>
            <w:tcW w:w="3510" w:type="dxa"/>
            <w:shd w:val="clear" w:color="auto" w:fill="FFCCCC"/>
          </w:tcPr>
          <w:p w:rsidR="003F4616" w:rsidRPr="00BB6A98" w:rsidRDefault="003F4616" w:rsidP="00902ADA">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83 Abs. 3 Zulässigkeit der Verarbeitung und Veröffentlichung personenbezogener Daten zu wissenschaftlichen oder statistischen Zwecken</w:t>
            </w:r>
          </w:p>
        </w:tc>
        <w:tc>
          <w:tcPr>
            <w:tcW w:w="5778" w:type="dxa"/>
            <w:shd w:val="clear" w:color="auto" w:fill="FFCCCC"/>
          </w:tcPr>
          <w:p w:rsidR="00BB6A98" w:rsidRPr="00BB6A98" w:rsidRDefault="00BB6A98" w:rsidP="00BB6A98">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Strikte Ablehnung. </w:t>
            </w:r>
          </w:p>
          <w:p w:rsidR="003F4616" w:rsidRPr="00BB6A98" w:rsidRDefault="00BB6A98" w:rsidP="00BB6A98">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Die Kodif</w:t>
            </w:r>
            <w:r w:rsidR="004245D7">
              <w:rPr>
                <w:rFonts w:ascii="Times New Roman" w:hAnsi="Times New Roman" w:cs="Times New Roman"/>
                <w:sz w:val="24"/>
                <w:szCs w:val="24"/>
              </w:rPr>
              <w:t>izierung von Zulässigkeitstatbe</w:t>
            </w:r>
            <w:r w:rsidRPr="00BB6A98">
              <w:rPr>
                <w:rFonts w:ascii="Times New Roman" w:hAnsi="Times New Roman" w:cs="Times New Roman"/>
                <w:sz w:val="24"/>
                <w:szCs w:val="24"/>
              </w:rPr>
              <w:t>ständen sollte Rat und Parlament vorbehalten sein und nicht auf die Kommission übertragen werden.</w:t>
            </w:r>
          </w:p>
        </w:tc>
      </w:tr>
    </w:tbl>
    <w:p w:rsidR="003F4616" w:rsidRDefault="003F4616" w:rsidP="003F4616">
      <w:pPr>
        <w:rPr>
          <w:rFonts w:ascii="Times New Roman" w:hAnsi="Times New Roman" w:cs="Times New Roman"/>
          <w:sz w:val="24"/>
          <w:szCs w:val="24"/>
        </w:rPr>
      </w:pPr>
    </w:p>
    <w:p w:rsidR="00192512" w:rsidRPr="00BB6A98" w:rsidRDefault="00192512" w:rsidP="003F4616">
      <w:pPr>
        <w:rPr>
          <w:rFonts w:ascii="Times New Roman" w:hAnsi="Times New Roman" w:cs="Times New Roman"/>
          <w:sz w:val="24"/>
          <w:szCs w:val="24"/>
        </w:rPr>
      </w:pPr>
    </w:p>
    <w:p w:rsidR="003F4616" w:rsidRPr="00BB6A98" w:rsidRDefault="003F4616" w:rsidP="003F4616">
      <w:pPr>
        <w:autoSpaceDE w:val="0"/>
        <w:autoSpaceDN w:val="0"/>
        <w:adjustRightInd w:val="0"/>
        <w:spacing w:after="0" w:line="240" w:lineRule="auto"/>
        <w:rPr>
          <w:rFonts w:ascii="Times New Roman" w:hAnsi="Times New Roman" w:cs="Times New Roman"/>
          <w:b/>
          <w:bCs/>
          <w:color w:val="000000"/>
          <w:sz w:val="24"/>
          <w:szCs w:val="24"/>
        </w:rPr>
      </w:pPr>
      <w:r w:rsidRPr="00BB6A98">
        <w:rPr>
          <w:rFonts w:ascii="Times New Roman" w:hAnsi="Times New Roman" w:cs="Times New Roman"/>
          <w:b/>
          <w:bCs/>
          <w:color w:val="000000"/>
          <w:sz w:val="24"/>
          <w:szCs w:val="24"/>
        </w:rPr>
        <w:t>2. Durchführungsrechtsakte</w:t>
      </w:r>
    </w:p>
    <w:p w:rsidR="00192512" w:rsidRDefault="00192512" w:rsidP="00E1073A">
      <w:pPr>
        <w:autoSpaceDE w:val="0"/>
        <w:autoSpaceDN w:val="0"/>
        <w:adjustRightInd w:val="0"/>
        <w:spacing w:after="0" w:line="240" w:lineRule="auto"/>
        <w:rPr>
          <w:rFonts w:ascii="Times New Roman" w:hAnsi="Times New Roman" w:cs="Times New Roman"/>
          <w:color w:val="000000"/>
          <w:sz w:val="24"/>
          <w:szCs w:val="24"/>
        </w:rPr>
      </w:pPr>
    </w:p>
    <w:p w:rsidR="003F4616" w:rsidRPr="00BB6A98" w:rsidRDefault="003F4616" w:rsidP="00E1073A">
      <w:pPr>
        <w:autoSpaceDE w:val="0"/>
        <w:autoSpaceDN w:val="0"/>
        <w:adjustRightInd w:val="0"/>
        <w:spacing w:after="0" w:line="240" w:lineRule="auto"/>
        <w:rPr>
          <w:rFonts w:ascii="Times New Roman" w:hAnsi="Times New Roman" w:cs="Times New Roman"/>
          <w:color w:val="000000"/>
          <w:sz w:val="24"/>
          <w:szCs w:val="24"/>
        </w:rPr>
      </w:pPr>
      <w:r w:rsidRPr="00BB6A98">
        <w:rPr>
          <w:rFonts w:ascii="Times New Roman" w:hAnsi="Times New Roman" w:cs="Times New Roman"/>
          <w:color w:val="000000"/>
          <w:sz w:val="24"/>
          <w:szCs w:val="24"/>
        </w:rPr>
        <w:t>Mit Durchführung</w:t>
      </w:r>
      <w:r w:rsidR="00E1073A" w:rsidRPr="00BB6A98">
        <w:rPr>
          <w:rFonts w:ascii="Times New Roman" w:hAnsi="Times New Roman" w:cs="Times New Roman"/>
          <w:color w:val="000000"/>
          <w:sz w:val="24"/>
          <w:szCs w:val="24"/>
        </w:rPr>
        <w:t>srechtsakten (Art. 291 AEUV</w:t>
      </w:r>
      <w:r w:rsidRPr="00BB6A98">
        <w:rPr>
          <w:rFonts w:ascii="Times New Roman" w:hAnsi="Times New Roman" w:cs="Times New Roman"/>
          <w:color w:val="000000"/>
          <w:sz w:val="24"/>
          <w:szCs w:val="24"/>
        </w:rPr>
        <w:t>) darf die Kommission den Vollzug des Unionsre</w:t>
      </w:r>
      <w:r w:rsidR="00E1073A" w:rsidRPr="00BB6A98">
        <w:rPr>
          <w:rFonts w:ascii="Times New Roman" w:hAnsi="Times New Roman" w:cs="Times New Roman"/>
          <w:color w:val="000000"/>
          <w:sz w:val="24"/>
          <w:szCs w:val="24"/>
        </w:rPr>
        <w:t>chts vereinheitlichen. Damit soll</w:t>
      </w:r>
      <w:r w:rsidRPr="00BB6A98">
        <w:rPr>
          <w:rFonts w:ascii="Times New Roman" w:hAnsi="Times New Roman" w:cs="Times New Roman"/>
          <w:color w:val="000000"/>
          <w:sz w:val="24"/>
          <w:szCs w:val="24"/>
        </w:rPr>
        <w:t xml:space="preserve"> </w:t>
      </w:r>
      <w:r w:rsidR="00192512">
        <w:rPr>
          <w:rFonts w:ascii="Times New Roman" w:hAnsi="Times New Roman" w:cs="Times New Roman"/>
          <w:color w:val="000000"/>
          <w:sz w:val="24"/>
          <w:szCs w:val="24"/>
        </w:rPr>
        <w:t xml:space="preserve">die </w:t>
      </w:r>
      <w:r w:rsidRPr="00BB6A98">
        <w:rPr>
          <w:rFonts w:ascii="Times New Roman" w:hAnsi="Times New Roman" w:cs="Times New Roman"/>
          <w:color w:val="000000"/>
          <w:sz w:val="24"/>
          <w:szCs w:val="24"/>
        </w:rPr>
        <w:t>einheitliche Anwendung des Unionsre</w:t>
      </w:r>
      <w:r w:rsidR="00E1073A" w:rsidRPr="00BB6A98">
        <w:rPr>
          <w:rFonts w:ascii="Times New Roman" w:hAnsi="Times New Roman" w:cs="Times New Roman"/>
          <w:color w:val="000000"/>
          <w:sz w:val="24"/>
          <w:szCs w:val="24"/>
        </w:rPr>
        <w:t xml:space="preserve">chts trotz dezentralen Vollzugs </w:t>
      </w:r>
      <w:r w:rsidRPr="00BB6A98">
        <w:rPr>
          <w:rFonts w:ascii="Times New Roman" w:hAnsi="Times New Roman" w:cs="Times New Roman"/>
          <w:color w:val="000000"/>
          <w:sz w:val="24"/>
          <w:szCs w:val="24"/>
        </w:rPr>
        <w:t>durch die Mitgliedstaaten</w:t>
      </w:r>
      <w:r w:rsidR="00E1073A" w:rsidRPr="00BB6A98">
        <w:rPr>
          <w:rFonts w:ascii="Times New Roman" w:hAnsi="Times New Roman" w:cs="Times New Roman"/>
          <w:color w:val="000000"/>
          <w:sz w:val="24"/>
          <w:szCs w:val="24"/>
        </w:rPr>
        <w:t xml:space="preserve"> erreicht werden</w:t>
      </w:r>
      <w:r w:rsidRPr="00BB6A98">
        <w:rPr>
          <w:rFonts w:ascii="Times New Roman" w:hAnsi="Times New Roman" w:cs="Times New Roman"/>
          <w:color w:val="000000"/>
          <w:sz w:val="24"/>
          <w:szCs w:val="24"/>
        </w:rPr>
        <w:t>. Im nationalen Recht entspricht dem am ehesten die Vereinheit</w:t>
      </w:r>
      <w:r w:rsidR="00E1073A" w:rsidRPr="00BB6A98">
        <w:rPr>
          <w:rFonts w:ascii="Times New Roman" w:hAnsi="Times New Roman" w:cs="Times New Roman"/>
          <w:color w:val="000000"/>
          <w:sz w:val="24"/>
          <w:szCs w:val="24"/>
        </w:rPr>
        <w:t xml:space="preserve">lichung des Verwaltungsvollzugs </w:t>
      </w:r>
      <w:r w:rsidRPr="00BB6A98">
        <w:rPr>
          <w:rFonts w:ascii="Times New Roman" w:hAnsi="Times New Roman" w:cs="Times New Roman"/>
          <w:color w:val="000000"/>
          <w:sz w:val="24"/>
          <w:szCs w:val="24"/>
        </w:rPr>
        <w:t>durch Verwaltungsvorschriften</w:t>
      </w:r>
      <w:r w:rsidR="00E1073A" w:rsidRPr="00BB6A98">
        <w:rPr>
          <w:rFonts w:ascii="Times New Roman" w:hAnsi="Times New Roman" w:cs="Times New Roman"/>
          <w:color w:val="000000"/>
          <w:sz w:val="24"/>
          <w:szCs w:val="24"/>
        </w:rPr>
        <w:t>.</w:t>
      </w:r>
    </w:p>
    <w:p w:rsidR="00E1073A" w:rsidRPr="00BB6A98" w:rsidRDefault="00E1073A" w:rsidP="00E1073A">
      <w:pPr>
        <w:autoSpaceDE w:val="0"/>
        <w:autoSpaceDN w:val="0"/>
        <w:adjustRightInd w:val="0"/>
        <w:spacing w:after="0" w:line="240" w:lineRule="auto"/>
        <w:rPr>
          <w:rFonts w:ascii="Times New Roman" w:hAnsi="Times New Roman" w:cs="Times New Roman"/>
          <w:color w:val="000000"/>
          <w:sz w:val="24"/>
          <w:szCs w:val="24"/>
        </w:rPr>
      </w:pPr>
    </w:p>
    <w:p w:rsidR="00E1073A" w:rsidRPr="00BB6A98" w:rsidRDefault="00E1073A" w:rsidP="00E1073A">
      <w:pPr>
        <w:autoSpaceDE w:val="0"/>
        <w:autoSpaceDN w:val="0"/>
        <w:adjustRightInd w:val="0"/>
        <w:spacing w:after="0" w:line="240" w:lineRule="auto"/>
        <w:rPr>
          <w:rFonts w:ascii="Times New Roman" w:hAnsi="Times New Roman" w:cs="Times New Roman"/>
          <w:color w:val="000000"/>
          <w:sz w:val="24"/>
          <w:szCs w:val="24"/>
        </w:rPr>
      </w:pPr>
    </w:p>
    <w:tbl>
      <w:tblPr>
        <w:tblStyle w:val="Tabellenraster"/>
        <w:tblW w:w="0" w:type="auto"/>
        <w:tblLook w:val="04A0" w:firstRow="1" w:lastRow="0" w:firstColumn="1" w:lastColumn="0" w:noHBand="0" w:noVBand="1"/>
      </w:tblPr>
      <w:tblGrid>
        <w:gridCol w:w="3510"/>
        <w:gridCol w:w="5778"/>
      </w:tblGrid>
      <w:tr w:rsidR="001F7A8E" w:rsidRPr="00BB6A98" w:rsidTr="00192512">
        <w:trPr>
          <w:trHeight w:val="655"/>
          <w:tblHeader/>
        </w:trPr>
        <w:tc>
          <w:tcPr>
            <w:tcW w:w="3510" w:type="dxa"/>
            <w:shd w:val="clear" w:color="auto" w:fill="F2F2F2" w:themeFill="background1" w:themeFillShade="F2"/>
          </w:tcPr>
          <w:p w:rsidR="00192512" w:rsidRDefault="00192512" w:rsidP="00192512">
            <w:pPr>
              <w:autoSpaceDE w:val="0"/>
              <w:autoSpaceDN w:val="0"/>
              <w:adjustRightInd w:val="0"/>
              <w:jc w:val="center"/>
              <w:rPr>
                <w:rFonts w:ascii="Times New Roman" w:hAnsi="Times New Roman" w:cs="Times New Roman"/>
                <w:b/>
                <w:sz w:val="24"/>
                <w:szCs w:val="24"/>
              </w:rPr>
            </w:pPr>
          </w:p>
          <w:p w:rsidR="001F7A8E" w:rsidRPr="00BB6A98" w:rsidRDefault="001F7A8E" w:rsidP="00192512">
            <w:pPr>
              <w:autoSpaceDE w:val="0"/>
              <w:autoSpaceDN w:val="0"/>
              <w:adjustRightInd w:val="0"/>
              <w:jc w:val="center"/>
              <w:rPr>
                <w:rFonts w:ascii="Times New Roman" w:hAnsi="Times New Roman" w:cs="Times New Roman"/>
                <w:b/>
                <w:sz w:val="24"/>
                <w:szCs w:val="24"/>
              </w:rPr>
            </w:pPr>
            <w:r w:rsidRPr="00BB6A98">
              <w:rPr>
                <w:rFonts w:ascii="Times New Roman" w:hAnsi="Times New Roman" w:cs="Times New Roman"/>
                <w:b/>
                <w:sz w:val="24"/>
                <w:szCs w:val="24"/>
              </w:rPr>
              <w:t>Durchführungsrechtsakt</w:t>
            </w:r>
          </w:p>
        </w:tc>
        <w:tc>
          <w:tcPr>
            <w:tcW w:w="5778" w:type="dxa"/>
            <w:shd w:val="clear" w:color="auto" w:fill="F2F2F2" w:themeFill="background1" w:themeFillShade="F2"/>
          </w:tcPr>
          <w:p w:rsidR="00192512" w:rsidRDefault="00192512" w:rsidP="00192512">
            <w:pPr>
              <w:autoSpaceDE w:val="0"/>
              <w:autoSpaceDN w:val="0"/>
              <w:adjustRightInd w:val="0"/>
              <w:jc w:val="center"/>
              <w:rPr>
                <w:rFonts w:ascii="Times New Roman" w:hAnsi="Times New Roman" w:cs="Times New Roman"/>
                <w:b/>
                <w:sz w:val="24"/>
                <w:szCs w:val="24"/>
              </w:rPr>
            </w:pPr>
          </w:p>
          <w:p w:rsidR="001F7A8E" w:rsidRDefault="001F7A8E" w:rsidP="00192512">
            <w:pPr>
              <w:autoSpaceDE w:val="0"/>
              <w:autoSpaceDN w:val="0"/>
              <w:adjustRightInd w:val="0"/>
              <w:jc w:val="center"/>
              <w:rPr>
                <w:rFonts w:ascii="Times New Roman" w:hAnsi="Times New Roman" w:cs="Times New Roman"/>
                <w:b/>
                <w:sz w:val="24"/>
                <w:szCs w:val="24"/>
              </w:rPr>
            </w:pPr>
            <w:r w:rsidRPr="00BB6A98">
              <w:rPr>
                <w:rFonts w:ascii="Times New Roman" w:hAnsi="Times New Roman" w:cs="Times New Roman"/>
                <w:b/>
                <w:sz w:val="24"/>
                <w:szCs w:val="24"/>
              </w:rPr>
              <w:t>Bewertung</w:t>
            </w:r>
          </w:p>
          <w:p w:rsidR="00192512" w:rsidRPr="00BB6A98" w:rsidRDefault="00192512" w:rsidP="00192512">
            <w:pPr>
              <w:autoSpaceDE w:val="0"/>
              <w:autoSpaceDN w:val="0"/>
              <w:adjustRightInd w:val="0"/>
              <w:jc w:val="center"/>
              <w:rPr>
                <w:rFonts w:ascii="Times New Roman" w:hAnsi="Times New Roman" w:cs="Times New Roman"/>
                <w:b/>
                <w:sz w:val="24"/>
                <w:szCs w:val="24"/>
              </w:rPr>
            </w:pPr>
          </w:p>
        </w:tc>
      </w:tr>
      <w:tr w:rsidR="00E1073A" w:rsidRPr="00BB6A98" w:rsidTr="00192512">
        <w:trPr>
          <w:trHeight w:val="655"/>
        </w:trPr>
        <w:tc>
          <w:tcPr>
            <w:tcW w:w="3510" w:type="dxa"/>
            <w:shd w:val="clear" w:color="auto" w:fill="FFCCCC"/>
          </w:tcPr>
          <w:p w:rsidR="00E1073A" w:rsidRPr="00BB6A98" w:rsidRDefault="00E1073A"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8 Abs. 4 Standardvorlagen für die Einwilligung der Erziehungsberechtigten in die Verarbeitung</w:t>
            </w:r>
            <w:r w:rsidR="001F7A8E" w:rsidRPr="00BB6A98">
              <w:rPr>
                <w:rFonts w:ascii="Times New Roman" w:hAnsi="Times New Roman" w:cs="Times New Roman"/>
                <w:sz w:val="24"/>
                <w:szCs w:val="24"/>
              </w:rPr>
              <w:t xml:space="preserve"> </w:t>
            </w:r>
            <w:r w:rsidRPr="00BB6A98">
              <w:rPr>
                <w:rFonts w:ascii="Times New Roman" w:hAnsi="Times New Roman" w:cs="Times New Roman"/>
                <w:sz w:val="24"/>
                <w:szCs w:val="24"/>
              </w:rPr>
              <w:t>der Daten des Kindes</w:t>
            </w:r>
          </w:p>
        </w:tc>
        <w:tc>
          <w:tcPr>
            <w:tcW w:w="5778" w:type="dxa"/>
            <w:shd w:val="clear" w:color="auto" w:fill="FFCCCC"/>
          </w:tcPr>
          <w:p w:rsidR="00E1073A" w:rsidRPr="00BB6A98" w:rsidRDefault="00017499"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Strikte </w:t>
            </w:r>
            <w:r w:rsidR="001F7A8E" w:rsidRPr="00BB6A98">
              <w:rPr>
                <w:rFonts w:ascii="Times New Roman" w:hAnsi="Times New Roman" w:cs="Times New Roman"/>
                <w:sz w:val="24"/>
                <w:szCs w:val="24"/>
              </w:rPr>
              <w:t>Ablehnung.</w:t>
            </w:r>
          </w:p>
          <w:p w:rsidR="001F7A8E" w:rsidRPr="00BB6A98" w:rsidRDefault="001F7A8E"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Die Entwicklung von Vordrucken und Formularen sollte den Verwendern und nicht der Kommission obliegen. Eine gesetzliche Standardisierung würde zu einer erheblichen Bürokratisierung führen</w:t>
            </w:r>
          </w:p>
        </w:tc>
      </w:tr>
      <w:tr w:rsidR="00E1073A" w:rsidRPr="00BB6A98" w:rsidTr="00192512">
        <w:tc>
          <w:tcPr>
            <w:tcW w:w="3510" w:type="dxa"/>
            <w:shd w:val="clear" w:color="auto" w:fill="FFCCCC"/>
          </w:tcPr>
          <w:p w:rsidR="00E1073A" w:rsidRPr="00BB6A98" w:rsidRDefault="00E1073A"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12 Abs. 6 Standardvorlagen und -verfahren für Mitteilungen an die Betroffenen</w:t>
            </w:r>
          </w:p>
        </w:tc>
        <w:tc>
          <w:tcPr>
            <w:tcW w:w="5778" w:type="dxa"/>
            <w:shd w:val="clear" w:color="auto" w:fill="FFCCCC"/>
          </w:tcPr>
          <w:p w:rsidR="001F7A8E" w:rsidRPr="00BB6A98" w:rsidRDefault="00017499" w:rsidP="001F7A8E">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Strikte </w:t>
            </w:r>
            <w:r w:rsidR="001F7A8E" w:rsidRPr="00BB6A98">
              <w:rPr>
                <w:rFonts w:ascii="Times New Roman" w:hAnsi="Times New Roman" w:cs="Times New Roman"/>
                <w:sz w:val="24"/>
                <w:szCs w:val="24"/>
              </w:rPr>
              <w:t>Ablehnung.</w:t>
            </w:r>
          </w:p>
          <w:p w:rsidR="00E1073A" w:rsidRPr="00BB6A98" w:rsidRDefault="001F7A8E" w:rsidP="001F7A8E">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Die Entwicklung von Vordrucken und Formularen sollte den Verwendern und nicht der Kommission obliegen. Eine gesetzliche Standardisierung würde zu einer erheblichen Bürokratisierung führen</w:t>
            </w:r>
            <w:r w:rsidR="00017499" w:rsidRPr="00BB6A98">
              <w:rPr>
                <w:rFonts w:ascii="Times New Roman" w:hAnsi="Times New Roman" w:cs="Times New Roman"/>
                <w:sz w:val="24"/>
                <w:szCs w:val="24"/>
              </w:rPr>
              <w:t>.</w:t>
            </w:r>
          </w:p>
        </w:tc>
      </w:tr>
      <w:tr w:rsidR="00E1073A" w:rsidRPr="00BB6A98" w:rsidTr="00192512">
        <w:tc>
          <w:tcPr>
            <w:tcW w:w="3510" w:type="dxa"/>
            <w:shd w:val="clear" w:color="auto" w:fill="FFCCCC"/>
          </w:tcPr>
          <w:p w:rsidR="00E1073A" w:rsidRPr="00BB6A98" w:rsidRDefault="00E1073A"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14 Abs. 8 Standardvorlagen für die Bereitstellung von Informationen</w:t>
            </w:r>
          </w:p>
        </w:tc>
        <w:tc>
          <w:tcPr>
            <w:tcW w:w="5778" w:type="dxa"/>
            <w:shd w:val="clear" w:color="auto" w:fill="FFCCCC"/>
          </w:tcPr>
          <w:p w:rsidR="00017499" w:rsidRPr="00BB6A98" w:rsidRDefault="00017499" w:rsidP="00017499">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Strikte Ablehnung.</w:t>
            </w:r>
          </w:p>
          <w:p w:rsidR="00017499" w:rsidRPr="00BB6A98" w:rsidRDefault="00017499" w:rsidP="00017499">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Die Entwicklung von Vordrucken und Formularen sollte den Verwendern und nicht der Kommission obliegen. Eine gesetzliche Standardisierung würde zu einer erheblichen Bürokratisierung führen.</w:t>
            </w:r>
          </w:p>
        </w:tc>
      </w:tr>
      <w:tr w:rsidR="00017499" w:rsidRPr="00BB6A98" w:rsidTr="00192512">
        <w:trPr>
          <w:trHeight w:val="655"/>
        </w:trPr>
        <w:tc>
          <w:tcPr>
            <w:tcW w:w="3510" w:type="dxa"/>
            <w:shd w:val="clear" w:color="auto" w:fill="FFCCCC"/>
          </w:tcPr>
          <w:p w:rsidR="00017499" w:rsidRPr="00BB6A98" w:rsidRDefault="00017499"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15 Abs. 4 Standardvorlagen und -verfahren für Auskunftsanträge und die Erteilung von Auskünften an die Betroffenen</w:t>
            </w:r>
          </w:p>
        </w:tc>
        <w:tc>
          <w:tcPr>
            <w:tcW w:w="5778" w:type="dxa"/>
            <w:shd w:val="clear" w:color="auto" w:fill="FFCCCC"/>
          </w:tcPr>
          <w:p w:rsidR="00017499" w:rsidRPr="00BB6A98" w:rsidRDefault="00017499" w:rsidP="00017499">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Strikte Ablehnung.</w:t>
            </w:r>
          </w:p>
          <w:p w:rsidR="00017499" w:rsidRPr="00BB6A98" w:rsidRDefault="00017499" w:rsidP="00017499">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Die Entwicklung von Vordrucken und Formularen sollte den Verwendern und nicht der Kommission obliegen. Eine gesetzliche Standardisierung würde zu einer erheblichen Bürokratisierung führen.</w:t>
            </w:r>
          </w:p>
        </w:tc>
      </w:tr>
      <w:tr w:rsidR="00E1073A" w:rsidRPr="00BB6A98" w:rsidTr="00192512">
        <w:tc>
          <w:tcPr>
            <w:tcW w:w="3510" w:type="dxa"/>
            <w:shd w:val="clear" w:color="auto" w:fill="FFCCCC"/>
          </w:tcPr>
          <w:p w:rsidR="00E1073A" w:rsidRPr="00BB6A98" w:rsidRDefault="00E1073A"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18 Abs. 3 Standards und Verfahren für die Portabilität von Daten</w:t>
            </w:r>
          </w:p>
        </w:tc>
        <w:tc>
          <w:tcPr>
            <w:tcW w:w="5778" w:type="dxa"/>
            <w:shd w:val="clear" w:color="auto" w:fill="FFCCCC"/>
          </w:tcPr>
          <w:p w:rsidR="00017499" w:rsidRPr="00BB6A98" w:rsidRDefault="00017499"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Strikte Ablehnung.</w:t>
            </w:r>
          </w:p>
          <w:p w:rsidR="00E1073A" w:rsidRPr="00BB6A98" w:rsidRDefault="00017499"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Die Regelung ist entbehrlich. Zudem stellt die Möglichkeit der Festlegung des elektronischen Formats nach Absatz 1 durch die Kommission einen nicht erforderlichen Eingriff in die verfassungsrechtlich geschützte Betriebsorganisationsfreiheit dar</w:t>
            </w:r>
          </w:p>
        </w:tc>
      </w:tr>
      <w:tr w:rsidR="00E1073A" w:rsidRPr="00BB6A98" w:rsidTr="00192512">
        <w:tc>
          <w:tcPr>
            <w:tcW w:w="3510" w:type="dxa"/>
            <w:shd w:val="clear" w:color="auto" w:fill="FFFF99"/>
          </w:tcPr>
          <w:p w:rsidR="00E1073A" w:rsidRPr="00BB6A98" w:rsidRDefault="00E1073A"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23 Abs. 4 Standards für Datenschutz durch Technik und datenschutzfreundliche Voreinstellungen</w:t>
            </w:r>
          </w:p>
        </w:tc>
        <w:tc>
          <w:tcPr>
            <w:tcW w:w="5778" w:type="dxa"/>
            <w:shd w:val="clear" w:color="auto" w:fill="FFFF99"/>
          </w:tcPr>
          <w:p w:rsidR="00DE7C18" w:rsidRPr="00BB6A98" w:rsidRDefault="00DE7C18"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Ablehnung.</w:t>
            </w:r>
          </w:p>
          <w:p w:rsidR="00E1073A" w:rsidRPr="00BB6A98" w:rsidRDefault="00DE7C18"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Die Entwicklung technischer Standards sollte den für die Datenverarbeitung Verantwortlichen überlassen bleiben. Andernfalls droht ein Mehr an Bürokratismus. Zudem könnten Produktin</w:t>
            </w:r>
            <w:r w:rsidR="00192512">
              <w:rPr>
                <w:rFonts w:ascii="Times New Roman" w:hAnsi="Times New Roman" w:cs="Times New Roman"/>
                <w:sz w:val="24"/>
                <w:szCs w:val="24"/>
              </w:rPr>
              <w:t>n</w:t>
            </w:r>
            <w:r w:rsidRPr="00BB6A98">
              <w:rPr>
                <w:rFonts w:ascii="Times New Roman" w:hAnsi="Times New Roman" w:cs="Times New Roman"/>
                <w:sz w:val="24"/>
                <w:szCs w:val="24"/>
              </w:rPr>
              <w:t>ovationen verhindert werden, wenn die Standards zu eng gefasst wären.</w:t>
            </w:r>
          </w:p>
        </w:tc>
      </w:tr>
      <w:tr w:rsidR="00E1073A" w:rsidRPr="00BB6A98" w:rsidTr="00192512">
        <w:tc>
          <w:tcPr>
            <w:tcW w:w="3510" w:type="dxa"/>
            <w:shd w:val="clear" w:color="auto" w:fill="FFFF99"/>
          </w:tcPr>
          <w:p w:rsidR="00E1073A" w:rsidRPr="00BB6A98" w:rsidRDefault="00E1073A" w:rsidP="008B1B37">
            <w:pPr>
              <w:rPr>
                <w:rFonts w:ascii="Times New Roman" w:hAnsi="Times New Roman" w:cs="Times New Roman"/>
                <w:color w:val="000000"/>
                <w:sz w:val="24"/>
                <w:szCs w:val="24"/>
              </w:rPr>
            </w:pPr>
            <w:r w:rsidRPr="00BB6A98">
              <w:rPr>
                <w:rFonts w:ascii="Times New Roman" w:hAnsi="Times New Roman" w:cs="Times New Roman"/>
                <w:sz w:val="24"/>
                <w:szCs w:val="24"/>
              </w:rPr>
              <w:t>Art. 28 Abs. 6 Standardvorlagen für die Erfüllung der Dokumentationspflichten</w:t>
            </w:r>
          </w:p>
        </w:tc>
        <w:tc>
          <w:tcPr>
            <w:tcW w:w="5778" w:type="dxa"/>
            <w:shd w:val="clear" w:color="auto" w:fill="FFFF99"/>
          </w:tcPr>
          <w:p w:rsidR="00DE7C18" w:rsidRPr="00BB6A98" w:rsidRDefault="00DE7C18" w:rsidP="008B1B37">
            <w:pPr>
              <w:rPr>
                <w:rFonts w:ascii="Times New Roman" w:hAnsi="Times New Roman" w:cs="Times New Roman"/>
                <w:sz w:val="24"/>
                <w:szCs w:val="24"/>
              </w:rPr>
            </w:pPr>
            <w:r w:rsidRPr="00BB6A98">
              <w:rPr>
                <w:rFonts w:ascii="Times New Roman" w:hAnsi="Times New Roman" w:cs="Times New Roman"/>
                <w:sz w:val="24"/>
                <w:szCs w:val="24"/>
              </w:rPr>
              <w:t>Ablehnung.</w:t>
            </w:r>
          </w:p>
          <w:p w:rsidR="00E1073A" w:rsidRDefault="00DE7C18" w:rsidP="008B1B37">
            <w:pPr>
              <w:rPr>
                <w:rFonts w:ascii="Times New Roman" w:hAnsi="Times New Roman" w:cs="Times New Roman"/>
                <w:sz w:val="24"/>
                <w:szCs w:val="24"/>
              </w:rPr>
            </w:pPr>
            <w:r w:rsidRPr="00BB6A98">
              <w:rPr>
                <w:rFonts w:ascii="Times New Roman" w:hAnsi="Times New Roman" w:cs="Times New Roman"/>
                <w:sz w:val="24"/>
                <w:szCs w:val="24"/>
              </w:rPr>
              <w:t>Die Entwicklung von Vordrucken und Formularen sollte den Verwendern obliegen. Eine Standardisierung würde zu einer erheblichen Bürokratisierung führen.</w:t>
            </w:r>
          </w:p>
          <w:p w:rsidR="00192512" w:rsidRPr="00BB6A98" w:rsidRDefault="00192512" w:rsidP="008B1B37">
            <w:pPr>
              <w:rPr>
                <w:rFonts w:ascii="Times New Roman" w:hAnsi="Times New Roman" w:cs="Times New Roman"/>
                <w:sz w:val="24"/>
                <w:szCs w:val="24"/>
              </w:rPr>
            </w:pPr>
          </w:p>
        </w:tc>
      </w:tr>
      <w:tr w:rsidR="00E1073A" w:rsidRPr="00BB6A98" w:rsidTr="00192512">
        <w:tc>
          <w:tcPr>
            <w:tcW w:w="3510" w:type="dxa"/>
            <w:shd w:val="clear" w:color="auto" w:fill="FFCCCC"/>
          </w:tcPr>
          <w:p w:rsidR="00E1073A" w:rsidRPr="00BB6A98" w:rsidRDefault="00E1073A"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lastRenderedPageBreak/>
              <w:t>Art. 30 Abs. 4 Sicherheitsstandards für die Datenverarbeitung</w:t>
            </w:r>
          </w:p>
        </w:tc>
        <w:tc>
          <w:tcPr>
            <w:tcW w:w="5778" w:type="dxa"/>
            <w:shd w:val="clear" w:color="auto" w:fill="FFCCCC"/>
          </w:tcPr>
          <w:p w:rsidR="00DE7C18" w:rsidRPr="00BB6A98" w:rsidRDefault="00DE7C18"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Strikte Ablehnung.</w:t>
            </w:r>
          </w:p>
          <w:p w:rsidR="00E1073A" w:rsidRPr="00BB6A98" w:rsidRDefault="00DE7C18"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Wenn weiterer Konkretisierungsbedarf besteht, dann sollte nach dem Vorbild der Anlage zu § 9 des deutschen BDSG vorgegangen und ein Maßnahmenkatalog zusammen mit der Verordnung verabschiedet werden. Zudem sollte der in § 9 BDSG verortete Verhältnismäßigkeitsgrundsatz auch nach den Vorschriften des VO-E maßgebliche Richtschnur sein.</w:t>
            </w:r>
          </w:p>
        </w:tc>
      </w:tr>
      <w:tr w:rsidR="00E1073A" w:rsidRPr="00BB6A98" w:rsidTr="00192512">
        <w:tc>
          <w:tcPr>
            <w:tcW w:w="3510" w:type="dxa"/>
            <w:shd w:val="clear" w:color="auto" w:fill="D6E3BC" w:themeFill="accent3" w:themeFillTint="66"/>
          </w:tcPr>
          <w:p w:rsidR="00E1073A" w:rsidRPr="00BB6A98" w:rsidRDefault="00E1073A"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31 Abs. 6 Standardvorlagen und Verfahren für Meldungen an die Aufsichtsbehörde bei Datenschutzverstößen</w:t>
            </w:r>
          </w:p>
        </w:tc>
        <w:tc>
          <w:tcPr>
            <w:tcW w:w="5778" w:type="dxa"/>
            <w:shd w:val="clear" w:color="auto" w:fill="D6E3BC" w:themeFill="accent3" w:themeFillTint="66"/>
          </w:tcPr>
          <w:p w:rsidR="00E1073A" w:rsidRPr="00BB6A98" w:rsidRDefault="00C3367C"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Für Durchführungsrechtsakt geeignet.</w:t>
            </w:r>
          </w:p>
        </w:tc>
      </w:tr>
      <w:tr w:rsidR="00E1073A" w:rsidRPr="00BB6A98" w:rsidTr="00192512">
        <w:tc>
          <w:tcPr>
            <w:tcW w:w="3510" w:type="dxa"/>
            <w:shd w:val="clear" w:color="auto" w:fill="FFFF99"/>
          </w:tcPr>
          <w:p w:rsidR="00E1073A" w:rsidRPr="00BB6A98" w:rsidRDefault="00E1073A"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32 Abs. 6 Standardvorlagen und Verfahren für Benachrichtigung der Betroffenen bei Datenschutzverstößen</w:t>
            </w:r>
          </w:p>
        </w:tc>
        <w:tc>
          <w:tcPr>
            <w:tcW w:w="5778" w:type="dxa"/>
            <w:shd w:val="clear" w:color="auto" w:fill="FFFF99"/>
          </w:tcPr>
          <w:p w:rsidR="00C3367C" w:rsidRPr="00BB6A98" w:rsidRDefault="00C3367C"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Ablehnung.</w:t>
            </w:r>
          </w:p>
          <w:p w:rsidR="00E1073A" w:rsidRPr="00BB6A98" w:rsidRDefault="00C3367C"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Soweit Regelungsbedarf besteht, sollte das Meldeformular sogleich mit der Verordnung verabschiedet werden.</w:t>
            </w:r>
          </w:p>
        </w:tc>
      </w:tr>
      <w:tr w:rsidR="00E1073A" w:rsidRPr="00BB6A98" w:rsidTr="00192512">
        <w:trPr>
          <w:trHeight w:val="655"/>
        </w:trPr>
        <w:tc>
          <w:tcPr>
            <w:tcW w:w="3510" w:type="dxa"/>
            <w:shd w:val="clear" w:color="auto" w:fill="D6E3BC" w:themeFill="accent3" w:themeFillTint="66"/>
          </w:tcPr>
          <w:p w:rsidR="00E1073A" w:rsidRPr="00BB6A98" w:rsidRDefault="00E1073A"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33 Abs. 7 Standards und Verfahren für die Durchführung sowie die interne und externe Überprüfung</w:t>
            </w:r>
          </w:p>
          <w:p w:rsidR="00E1073A" w:rsidRPr="00BB6A98" w:rsidRDefault="00E1073A"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der Datenschutz-Folgenabschätzungen</w:t>
            </w:r>
          </w:p>
        </w:tc>
        <w:tc>
          <w:tcPr>
            <w:tcW w:w="5778" w:type="dxa"/>
            <w:shd w:val="clear" w:color="auto" w:fill="D6E3BC" w:themeFill="accent3" w:themeFillTint="66"/>
          </w:tcPr>
          <w:p w:rsidR="00E1073A" w:rsidRPr="00BB6A98" w:rsidRDefault="00C3367C"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Für Durchführungsrechtsakt geeignet.</w:t>
            </w:r>
          </w:p>
        </w:tc>
      </w:tr>
      <w:tr w:rsidR="00B93429" w:rsidRPr="00BB6A98" w:rsidTr="00192512">
        <w:trPr>
          <w:trHeight w:val="655"/>
        </w:trPr>
        <w:tc>
          <w:tcPr>
            <w:tcW w:w="3510" w:type="dxa"/>
            <w:shd w:val="clear" w:color="auto" w:fill="D6E3BC" w:themeFill="accent3" w:themeFillTint="66"/>
          </w:tcPr>
          <w:p w:rsidR="00B93429" w:rsidRPr="00BB6A98" w:rsidRDefault="00B93429"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34 Abs. 9 Standardvorlagen und Verfahren für die Genehmigung durch und die Konsultation</w:t>
            </w:r>
            <w:r w:rsidR="00B0657C" w:rsidRPr="00BB6A98">
              <w:rPr>
                <w:rFonts w:ascii="Times New Roman" w:hAnsi="Times New Roman" w:cs="Times New Roman"/>
                <w:sz w:val="24"/>
                <w:szCs w:val="24"/>
              </w:rPr>
              <w:t xml:space="preserve"> </w:t>
            </w:r>
            <w:r w:rsidRPr="00BB6A98">
              <w:rPr>
                <w:rFonts w:ascii="Times New Roman" w:hAnsi="Times New Roman" w:cs="Times New Roman"/>
                <w:sz w:val="24"/>
                <w:szCs w:val="24"/>
              </w:rPr>
              <w:t>der Aufsichtsbehörde</w:t>
            </w:r>
          </w:p>
        </w:tc>
        <w:tc>
          <w:tcPr>
            <w:tcW w:w="5778" w:type="dxa"/>
            <w:shd w:val="clear" w:color="auto" w:fill="D6E3BC" w:themeFill="accent3" w:themeFillTint="66"/>
          </w:tcPr>
          <w:p w:rsidR="00B93429" w:rsidRPr="00BB6A98" w:rsidRDefault="00153F44"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Für Durchführungsrechtsakt geeignet</w:t>
            </w:r>
          </w:p>
        </w:tc>
      </w:tr>
      <w:tr w:rsidR="00E1073A" w:rsidRPr="00BB6A98" w:rsidTr="00192512">
        <w:tc>
          <w:tcPr>
            <w:tcW w:w="3510" w:type="dxa"/>
            <w:shd w:val="clear" w:color="auto" w:fill="FFCCCC"/>
          </w:tcPr>
          <w:p w:rsidR="00E1073A" w:rsidRPr="00BB6A98" w:rsidRDefault="00E1073A"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 xml:space="preserve">Art. 38 Abs. 4 </w:t>
            </w:r>
            <w:proofErr w:type="spellStart"/>
            <w:r w:rsidRPr="00BB6A98">
              <w:rPr>
                <w:rFonts w:ascii="Times New Roman" w:hAnsi="Times New Roman" w:cs="Times New Roman"/>
                <w:sz w:val="24"/>
                <w:szCs w:val="24"/>
              </w:rPr>
              <w:t>Allgemeinverbindlicherklärung</w:t>
            </w:r>
            <w:proofErr w:type="spellEnd"/>
            <w:r w:rsidRPr="00BB6A98">
              <w:rPr>
                <w:rFonts w:ascii="Times New Roman" w:hAnsi="Times New Roman" w:cs="Times New Roman"/>
                <w:sz w:val="24"/>
                <w:szCs w:val="24"/>
              </w:rPr>
              <w:t xml:space="preserve"> von Verhaltenskodizes</w:t>
            </w:r>
          </w:p>
        </w:tc>
        <w:tc>
          <w:tcPr>
            <w:tcW w:w="5778" w:type="dxa"/>
            <w:shd w:val="clear" w:color="auto" w:fill="FFCCCC"/>
          </w:tcPr>
          <w:p w:rsidR="00C3367C" w:rsidRPr="00BB6A98" w:rsidRDefault="00C3367C"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Strikte Ablehnung.</w:t>
            </w:r>
          </w:p>
          <w:p w:rsidR="00E1073A" w:rsidRPr="00BB6A98" w:rsidRDefault="00C3367C"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Absatz 4 sollte gestrichen werden, da über Absatz 4 Verhaltensregeln quasi verbindlichen Gesetzescharakter erhalten könnten, ohne den üblichen Gesetzgebungsprozess durchlaufen zu müssen. Es ist zu gewährleisten, dass alle Interessengruppen im Rahmen von Konsultationsverfahren gehört werden. Absatz 4 könnte diesen Prozess konterkarieren.</w:t>
            </w:r>
          </w:p>
        </w:tc>
      </w:tr>
      <w:tr w:rsidR="00E1073A" w:rsidRPr="00BB6A98" w:rsidTr="00192512">
        <w:tc>
          <w:tcPr>
            <w:tcW w:w="3510" w:type="dxa"/>
            <w:shd w:val="clear" w:color="auto" w:fill="D6E3BC" w:themeFill="accent3" w:themeFillTint="66"/>
          </w:tcPr>
          <w:p w:rsidR="00E1073A" w:rsidRPr="00BB6A98" w:rsidRDefault="00E1073A"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39 Abs. 3 Standards für Zertifizierungsverfahren und Datenschutz-Gütesiegel</w:t>
            </w:r>
          </w:p>
        </w:tc>
        <w:tc>
          <w:tcPr>
            <w:tcW w:w="5778" w:type="dxa"/>
            <w:shd w:val="clear" w:color="auto" w:fill="D6E3BC" w:themeFill="accent3" w:themeFillTint="66"/>
          </w:tcPr>
          <w:p w:rsidR="00E1073A" w:rsidRPr="00BB6A98" w:rsidRDefault="00153F44"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Für Durchführungsrechtsakt geeignet</w:t>
            </w:r>
          </w:p>
        </w:tc>
      </w:tr>
      <w:tr w:rsidR="00153F44" w:rsidRPr="00BB6A98" w:rsidTr="00192512">
        <w:trPr>
          <w:trHeight w:val="655"/>
        </w:trPr>
        <w:tc>
          <w:tcPr>
            <w:tcW w:w="3510" w:type="dxa"/>
            <w:shd w:val="clear" w:color="auto" w:fill="D6E3BC" w:themeFill="accent3" w:themeFillTint="66"/>
          </w:tcPr>
          <w:p w:rsidR="00153F44" w:rsidRPr="00BB6A98" w:rsidRDefault="00153F44"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41 Abs. 3 Zulässigkeit der Übermittlung von Daten in Drittländer oder an internationale Organisationen</w:t>
            </w:r>
          </w:p>
          <w:p w:rsidR="00153F44" w:rsidRPr="00BB6A98" w:rsidRDefault="00153F44"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(sog. Angemessenheitsbeschluss)</w:t>
            </w:r>
          </w:p>
        </w:tc>
        <w:tc>
          <w:tcPr>
            <w:tcW w:w="5778" w:type="dxa"/>
            <w:shd w:val="clear" w:color="auto" w:fill="D6E3BC" w:themeFill="accent3" w:themeFillTint="66"/>
          </w:tcPr>
          <w:p w:rsidR="00153F44" w:rsidRPr="00BB6A98" w:rsidRDefault="00153F44"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Für Durchführungsrechtsakt geeignet</w:t>
            </w:r>
          </w:p>
        </w:tc>
      </w:tr>
      <w:tr w:rsidR="00E1073A" w:rsidRPr="00BB6A98" w:rsidTr="00192512">
        <w:tc>
          <w:tcPr>
            <w:tcW w:w="3510" w:type="dxa"/>
            <w:shd w:val="clear" w:color="auto" w:fill="D6E3BC" w:themeFill="accent3" w:themeFillTint="66"/>
          </w:tcPr>
          <w:p w:rsidR="00E1073A" w:rsidRPr="00BB6A98" w:rsidRDefault="00E1073A"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41 Abs. 5 Unzulässigkeit der Übermittlung von Daten in Drittländer oder an internationale Organisationen</w:t>
            </w:r>
          </w:p>
        </w:tc>
        <w:tc>
          <w:tcPr>
            <w:tcW w:w="5778" w:type="dxa"/>
            <w:shd w:val="clear" w:color="auto" w:fill="D6E3BC" w:themeFill="accent3" w:themeFillTint="66"/>
          </w:tcPr>
          <w:p w:rsidR="00E1073A" w:rsidRDefault="00153F44"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Für Durchführungsrechtsakt geeignet</w:t>
            </w:r>
          </w:p>
          <w:p w:rsidR="00192512" w:rsidRDefault="00192512" w:rsidP="008B1B37">
            <w:pPr>
              <w:autoSpaceDE w:val="0"/>
              <w:autoSpaceDN w:val="0"/>
              <w:adjustRightInd w:val="0"/>
              <w:rPr>
                <w:rFonts w:ascii="Times New Roman" w:hAnsi="Times New Roman" w:cs="Times New Roman"/>
                <w:sz w:val="24"/>
                <w:szCs w:val="24"/>
              </w:rPr>
            </w:pPr>
          </w:p>
          <w:p w:rsidR="00192512" w:rsidRDefault="00192512" w:rsidP="008B1B37">
            <w:pPr>
              <w:autoSpaceDE w:val="0"/>
              <w:autoSpaceDN w:val="0"/>
              <w:adjustRightInd w:val="0"/>
              <w:rPr>
                <w:rFonts w:ascii="Times New Roman" w:hAnsi="Times New Roman" w:cs="Times New Roman"/>
                <w:sz w:val="24"/>
                <w:szCs w:val="24"/>
              </w:rPr>
            </w:pPr>
          </w:p>
          <w:p w:rsidR="00192512" w:rsidRDefault="00192512" w:rsidP="008B1B37">
            <w:pPr>
              <w:autoSpaceDE w:val="0"/>
              <w:autoSpaceDN w:val="0"/>
              <w:adjustRightInd w:val="0"/>
              <w:rPr>
                <w:rFonts w:ascii="Times New Roman" w:hAnsi="Times New Roman" w:cs="Times New Roman"/>
                <w:sz w:val="24"/>
                <w:szCs w:val="24"/>
              </w:rPr>
            </w:pPr>
          </w:p>
          <w:p w:rsidR="00192512" w:rsidRPr="00BB6A98" w:rsidRDefault="00192512" w:rsidP="008B1B37">
            <w:pPr>
              <w:autoSpaceDE w:val="0"/>
              <w:autoSpaceDN w:val="0"/>
              <w:adjustRightInd w:val="0"/>
              <w:rPr>
                <w:rFonts w:ascii="Times New Roman" w:hAnsi="Times New Roman" w:cs="Times New Roman"/>
                <w:sz w:val="24"/>
                <w:szCs w:val="24"/>
              </w:rPr>
            </w:pPr>
          </w:p>
        </w:tc>
      </w:tr>
      <w:tr w:rsidR="00E1073A" w:rsidRPr="00BB6A98" w:rsidTr="00192512">
        <w:tc>
          <w:tcPr>
            <w:tcW w:w="3510" w:type="dxa"/>
            <w:shd w:val="clear" w:color="auto" w:fill="D6E3BC" w:themeFill="accent3" w:themeFillTint="66"/>
          </w:tcPr>
          <w:p w:rsidR="00E1073A" w:rsidRPr="00BB6A98" w:rsidRDefault="00192512" w:rsidP="008B1B3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 xml:space="preserve">Art. 41 Abs. 5 </w:t>
            </w:r>
            <w:r w:rsidR="00E1073A" w:rsidRPr="00BB6A98">
              <w:rPr>
                <w:rFonts w:ascii="Times New Roman" w:hAnsi="Times New Roman" w:cs="Times New Roman"/>
                <w:sz w:val="24"/>
                <w:szCs w:val="24"/>
              </w:rPr>
              <w:t xml:space="preserve"> Unzulässigkeit der Übermittlung von Daten in Drittländer oder an internationale Organisationen in dringlichen Fällen </w:t>
            </w:r>
          </w:p>
        </w:tc>
        <w:tc>
          <w:tcPr>
            <w:tcW w:w="5778" w:type="dxa"/>
            <w:shd w:val="clear" w:color="auto" w:fill="D6E3BC" w:themeFill="accent3" w:themeFillTint="66"/>
          </w:tcPr>
          <w:p w:rsidR="00E1073A" w:rsidRPr="00BB6A98" w:rsidRDefault="00153F44"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Für Durchführungsrechtsakt geeignet</w:t>
            </w:r>
          </w:p>
        </w:tc>
      </w:tr>
      <w:tr w:rsidR="00153F44" w:rsidRPr="00BB6A98" w:rsidTr="00192512">
        <w:trPr>
          <w:trHeight w:val="655"/>
        </w:trPr>
        <w:tc>
          <w:tcPr>
            <w:tcW w:w="3510" w:type="dxa"/>
            <w:shd w:val="clear" w:color="auto" w:fill="D6E3BC" w:themeFill="accent3" w:themeFillTint="66"/>
          </w:tcPr>
          <w:p w:rsidR="00153F44" w:rsidRPr="00BB6A98" w:rsidRDefault="00153F44"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42 Abs. 2 lit. b. Standarddatenschutzklauseln für die Übermittlung von Daten in Drittländer oder an</w:t>
            </w:r>
          </w:p>
          <w:p w:rsidR="00153F44" w:rsidRPr="00BB6A98" w:rsidRDefault="00153F44"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internationale Organisationen</w:t>
            </w:r>
          </w:p>
        </w:tc>
        <w:tc>
          <w:tcPr>
            <w:tcW w:w="5778" w:type="dxa"/>
            <w:shd w:val="clear" w:color="auto" w:fill="D6E3BC" w:themeFill="accent3" w:themeFillTint="66"/>
          </w:tcPr>
          <w:p w:rsidR="00153F44" w:rsidRPr="00BB6A98" w:rsidRDefault="00153F44"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Für Durchführungsrechtsakt geeignet</w:t>
            </w:r>
          </w:p>
        </w:tc>
      </w:tr>
      <w:tr w:rsidR="00153F44" w:rsidRPr="00BB6A98" w:rsidTr="00192512">
        <w:trPr>
          <w:trHeight w:val="655"/>
        </w:trPr>
        <w:tc>
          <w:tcPr>
            <w:tcW w:w="3510" w:type="dxa"/>
            <w:shd w:val="clear" w:color="auto" w:fill="D6E3BC" w:themeFill="accent3" w:themeFillTint="66"/>
          </w:tcPr>
          <w:p w:rsidR="00153F44" w:rsidRPr="00BB6A98" w:rsidRDefault="00153F44"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43 Abs. 4 Form und Verfahren des EDV-basierten Informationsaustauschs über unternehmensinterne</w:t>
            </w:r>
          </w:p>
          <w:p w:rsidR="00153F44" w:rsidRPr="00BB6A98" w:rsidRDefault="00153F44"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Vorschriften für die Datenübermittlung in Drittländer</w:t>
            </w:r>
          </w:p>
        </w:tc>
        <w:tc>
          <w:tcPr>
            <w:tcW w:w="5778" w:type="dxa"/>
            <w:shd w:val="clear" w:color="auto" w:fill="D6E3BC" w:themeFill="accent3" w:themeFillTint="66"/>
          </w:tcPr>
          <w:p w:rsidR="00153F44" w:rsidRPr="00BB6A98" w:rsidRDefault="00153F44"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Für Durchführungsrechtsakt geeignet</w:t>
            </w:r>
          </w:p>
        </w:tc>
      </w:tr>
      <w:tr w:rsidR="00E1073A" w:rsidRPr="00BB6A98" w:rsidTr="00192512">
        <w:tc>
          <w:tcPr>
            <w:tcW w:w="3510" w:type="dxa"/>
            <w:shd w:val="clear" w:color="auto" w:fill="D6E3BC" w:themeFill="accent3" w:themeFillTint="66"/>
          </w:tcPr>
          <w:p w:rsidR="00E1073A" w:rsidRPr="00BB6A98" w:rsidRDefault="00E1073A"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55 Abs. 10 Form und Verfahren des EDV-basierten Informationsaustauschs im Rahmen der aufsichtsbehördlichen Amtshilfe</w:t>
            </w:r>
          </w:p>
        </w:tc>
        <w:tc>
          <w:tcPr>
            <w:tcW w:w="5778" w:type="dxa"/>
            <w:shd w:val="clear" w:color="auto" w:fill="D6E3BC" w:themeFill="accent3" w:themeFillTint="66"/>
          </w:tcPr>
          <w:p w:rsidR="00E1073A" w:rsidRPr="00BB6A98" w:rsidRDefault="00006A5C"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Für Durchführungsrechtsakt geeignet</w:t>
            </w:r>
          </w:p>
        </w:tc>
      </w:tr>
      <w:tr w:rsidR="00E1073A" w:rsidRPr="00BB6A98" w:rsidTr="00192512">
        <w:tc>
          <w:tcPr>
            <w:tcW w:w="3510" w:type="dxa"/>
            <w:shd w:val="clear" w:color="auto" w:fill="FFFF99"/>
          </w:tcPr>
          <w:p w:rsidR="00E1073A" w:rsidRPr="00BB6A98" w:rsidRDefault="00E1073A"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62 Abs. 1 lit. a Entscheidungsrecht der Kommission gegenüber den Aufsichtsbehörden</w:t>
            </w:r>
          </w:p>
        </w:tc>
        <w:tc>
          <w:tcPr>
            <w:tcW w:w="5778" w:type="dxa"/>
            <w:shd w:val="clear" w:color="auto" w:fill="FFFF99"/>
          </w:tcPr>
          <w:p w:rsidR="00E1073A" w:rsidRPr="00BB6A98" w:rsidRDefault="00006A5C"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Ablehnung.</w:t>
            </w:r>
          </w:p>
          <w:p w:rsidR="00006A5C" w:rsidRPr="00BB6A98" w:rsidRDefault="00006A5C"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Ansatz fragwürdig. Rolle der Aufsichtsbehörden kann hier durch Kommission deutlich beschränkt werden. Das Verhältnis Aufsichtsbehörden und Kommission muss eindeutig in der Verordnung selber geregelt werden.</w:t>
            </w:r>
          </w:p>
        </w:tc>
      </w:tr>
      <w:tr w:rsidR="00006A5C" w:rsidRPr="00BB6A98" w:rsidTr="00192512">
        <w:trPr>
          <w:trHeight w:val="1092"/>
        </w:trPr>
        <w:tc>
          <w:tcPr>
            <w:tcW w:w="3510" w:type="dxa"/>
            <w:shd w:val="clear" w:color="auto" w:fill="D6E3BC" w:themeFill="accent3" w:themeFillTint="66"/>
          </w:tcPr>
          <w:p w:rsidR="00006A5C" w:rsidRPr="00BB6A98" w:rsidRDefault="00006A5C"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62 Abs. 1 lit. b Annahme von Standarddatenschutzklauseln der Aufsichtsbehörden für die Übermittlung</w:t>
            </w:r>
          </w:p>
          <w:p w:rsidR="00006A5C" w:rsidRPr="00BB6A98" w:rsidRDefault="00006A5C"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von Daten in Drittländer oder an internationale Organisationen</w:t>
            </w:r>
          </w:p>
        </w:tc>
        <w:tc>
          <w:tcPr>
            <w:tcW w:w="5778" w:type="dxa"/>
            <w:shd w:val="clear" w:color="auto" w:fill="D6E3BC" w:themeFill="accent3" w:themeFillTint="66"/>
          </w:tcPr>
          <w:p w:rsidR="00006A5C" w:rsidRPr="00BB6A98" w:rsidRDefault="00006A5C"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Für Durchführungsrechtsakt geeignet</w:t>
            </w:r>
          </w:p>
        </w:tc>
      </w:tr>
      <w:tr w:rsidR="00006A5C" w:rsidRPr="00BB6A98" w:rsidTr="00192512">
        <w:trPr>
          <w:trHeight w:val="874"/>
        </w:trPr>
        <w:tc>
          <w:tcPr>
            <w:tcW w:w="3510" w:type="dxa"/>
            <w:shd w:val="clear" w:color="auto" w:fill="D6E3BC" w:themeFill="accent3" w:themeFillTint="66"/>
          </w:tcPr>
          <w:p w:rsidR="00006A5C" w:rsidRPr="00BB6A98" w:rsidRDefault="00006A5C"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62 Abs. 1 lit. c</w:t>
            </w:r>
          </w:p>
          <w:p w:rsidR="00006A5C" w:rsidRPr="00BB6A98" w:rsidRDefault="00006A5C"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Form und Verfahren der Zusammenarbeit der Aufsichtsbehörden untereinander sowie</w:t>
            </w:r>
          </w:p>
          <w:p w:rsidR="00006A5C" w:rsidRPr="00BB6A98" w:rsidRDefault="00006A5C"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mit der Kommission (Kohärenzverfahren)</w:t>
            </w:r>
          </w:p>
        </w:tc>
        <w:tc>
          <w:tcPr>
            <w:tcW w:w="5778" w:type="dxa"/>
            <w:shd w:val="clear" w:color="auto" w:fill="D6E3BC" w:themeFill="accent3" w:themeFillTint="66"/>
          </w:tcPr>
          <w:p w:rsidR="00006A5C" w:rsidRPr="00BB6A98" w:rsidRDefault="00006A5C"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Für Durchführungsrechtsakt geeignet</w:t>
            </w:r>
          </w:p>
        </w:tc>
      </w:tr>
      <w:tr w:rsidR="00E1073A" w:rsidRPr="00BB6A98" w:rsidTr="00192512">
        <w:tc>
          <w:tcPr>
            <w:tcW w:w="3510" w:type="dxa"/>
            <w:shd w:val="clear" w:color="auto" w:fill="D6E3BC" w:themeFill="accent3" w:themeFillTint="66"/>
          </w:tcPr>
          <w:p w:rsidR="00E1073A" w:rsidRPr="00BB6A98" w:rsidRDefault="00E1073A"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62 Abs. 1 lit. d Ausgestaltung des EDV-basierten Informationsaustauschs innerhalb des Kohärenzverfahrens</w:t>
            </w:r>
          </w:p>
        </w:tc>
        <w:tc>
          <w:tcPr>
            <w:tcW w:w="5778" w:type="dxa"/>
            <w:shd w:val="clear" w:color="auto" w:fill="D6E3BC" w:themeFill="accent3" w:themeFillTint="66"/>
          </w:tcPr>
          <w:p w:rsidR="00E1073A" w:rsidRPr="00BB6A98" w:rsidRDefault="00006A5C"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Für Durchführungsrechtsakt geeignet</w:t>
            </w:r>
          </w:p>
        </w:tc>
      </w:tr>
      <w:tr w:rsidR="00E1073A" w:rsidRPr="00BB6A98" w:rsidTr="00192512">
        <w:tc>
          <w:tcPr>
            <w:tcW w:w="3510" w:type="dxa"/>
            <w:shd w:val="clear" w:color="auto" w:fill="FFCCCC"/>
          </w:tcPr>
          <w:p w:rsidR="00E1073A" w:rsidRPr="00BB6A98" w:rsidRDefault="00E1073A" w:rsidP="008B1B37">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Art. 62 Abs. 2  Entscheidungsrecht der Kommission gegenüber den Aufsichtsbehörden in dringlichen Fällen</w:t>
            </w:r>
          </w:p>
        </w:tc>
        <w:tc>
          <w:tcPr>
            <w:tcW w:w="5778" w:type="dxa"/>
            <w:shd w:val="clear" w:color="auto" w:fill="FFCCCC"/>
          </w:tcPr>
          <w:p w:rsidR="00006A5C" w:rsidRPr="00BB6A98" w:rsidRDefault="00006A5C" w:rsidP="00006A5C">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Strikte Ablehnung.</w:t>
            </w:r>
          </w:p>
          <w:p w:rsidR="00E1073A" w:rsidRPr="00BB6A98" w:rsidRDefault="00006A5C" w:rsidP="00006A5C">
            <w:pPr>
              <w:autoSpaceDE w:val="0"/>
              <w:autoSpaceDN w:val="0"/>
              <w:adjustRightInd w:val="0"/>
              <w:rPr>
                <w:rFonts w:ascii="Times New Roman" w:hAnsi="Times New Roman" w:cs="Times New Roman"/>
                <w:sz w:val="24"/>
                <w:szCs w:val="24"/>
              </w:rPr>
            </w:pPr>
            <w:r w:rsidRPr="00BB6A98">
              <w:rPr>
                <w:rFonts w:ascii="Times New Roman" w:hAnsi="Times New Roman" w:cs="Times New Roman"/>
                <w:sz w:val="24"/>
                <w:szCs w:val="24"/>
              </w:rPr>
              <w:t>Mit der Unabhängigkeit der Aufsichtsbehörden nicht zu vereinbaren und daher zu streichen, vgl. Art. 47!</w:t>
            </w:r>
          </w:p>
        </w:tc>
      </w:tr>
    </w:tbl>
    <w:p w:rsidR="003F4616" w:rsidRPr="00BB6A98" w:rsidRDefault="003F4616" w:rsidP="004245D7">
      <w:pPr>
        <w:autoSpaceDE w:val="0"/>
        <w:autoSpaceDN w:val="0"/>
        <w:adjustRightInd w:val="0"/>
        <w:spacing w:after="0" w:line="240" w:lineRule="auto"/>
        <w:rPr>
          <w:rFonts w:ascii="Times New Roman" w:hAnsi="Times New Roman" w:cs="Times New Roman"/>
          <w:sz w:val="24"/>
          <w:szCs w:val="24"/>
        </w:rPr>
      </w:pPr>
      <w:bookmarkStart w:id="0" w:name="_GoBack"/>
      <w:bookmarkEnd w:id="0"/>
    </w:p>
    <w:sectPr w:rsidR="003F4616" w:rsidRPr="00BB6A9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62EB"/>
    <w:multiLevelType w:val="hybridMultilevel"/>
    <w:tmpl w:val="C74076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616"/>
    <w:rsid w:val="00006A5C"/>
    <w:rsid w:val="00017499"/>
    <w:rsid w:val="00153F44"/>
    <w:rsid w:val="00192512"/>
    <w:rsid w:val="001F7A8E"/>
    <w:rsid w:val="003F4616"/>
    <w:rsid w:val="004245D7"/>
    <w:rsid w:val="00433665"/>
    <w:rsid w:val="006C47BA"/>
    <w:rsid w:val="00B0657C"/>
    <w:rsid w:val="00B93429"/>
    <w:rsid w:val="00BB6A98"/>
    <w:rsid w:val="00C3367C"/>
    <w:rsid w:val="00DE7C18"/>
    <w:rsid w:val="00E1073A"/>
    <w:rsid w:val="00F420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F4616"/>
    <w:pPr>
      <w:ind w:left="720"/>
      <w:contextualSpacing/>
    </w:pPr>
  </w:style>
  <w:style w:type="table" w:styleId="Tabellenraster">
    <w:name w:val="Table Grid"/>
    <w:basedOn w:val="NormaleTabelle"/>
    <w:uiPriority w:val="59"/>
    <w:rsid w:val="003F46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3F46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46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F4616"/>
    <w:pPr>
      <w:ind w:left="720"/>
      <w:contextualSpacing/>
    </w:pPr>
  </w:style>
  <w:style w:type="table" w:styleId="Tabellenraster">
    <w:name w:val="Table Grid"/>
    <w:basedOn w:val="NormaleTabelle"/>
    <w:uiPriority w:val="59"/>
    <w:rsid w:val="003F46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3F46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46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FAF29C3A.dotm</Template>
  <TotalTime>0</TotalTime>
  <Pages>7</Pages>
  <Words>1899</Words>
  <Characters>11965</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NN</Company>
  <LinksUpToDate>false</LinksUpToDate>
  <CharactersWithSpaces>13837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Wulf Hartmann</dc:creator>
  <cp:lastModifiedBy>KochC</cp:lastModifiedBy>
  <cp:revision>3</cp:revision>
  <dcterms:created xsi:type="dcterms:W3CDTF">2012-10-13T09:29:00Z</dcterms:created>
  <dcterms:modified xsi:type="dcterms:W3CDTF">2012-10-13T09:30:00Z</dcterms:modified>
</cp:coreProperties>
</file>